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0E8C8" w14:textId="77777777" w:rsidR="003266E1" w:rsidRPr="003266E1" w:rsidRDefault="003266E1" w:rsidP="003266E1">
      <w:pPr>
        <w:shd w:val="clear" w:color="auto" w:fill="FFFFFF"/>
        <w:spacing w:before="90" w:after="90" w:line="270" w:lineRule="atLeast"/>
        <w:jc w:val="center"/>
        <w:outlineLvl w:val="0"/>
        <w:rPr>
          <w:rFonts w:ascii="Myriad Pro" w:eastAsia="Times New Roman" w:hAnsi="Myriad Pro" w:cs="Arial"/>
          <w:b/>
          <w:bCs/>
          <w:color w:val="000000"/>
          <w:kern w:val="36"/>
          <w:sz w:val="24"/>
          <w:szCs w:val="24"/>
        </w:rPr>
      </w:pPr>
      <w:r w:rsidRPr="003266E1">
        <w:rPr>
          <w:rFonts w:ascii="Myriad Pro" w:eastAsia="Times New Roman" w:hAnsi="Myriad Pro" w:cs="Arial"/>
          <w:b/>
          <w:bCs/>
          <w:color w:val="000000"/>
          <w:kern w:val="36"/>
          <w:sz w:val="24"/>
          <w:szCs w:val="24"/>
        </w:rPr>
        <w:t xml:space="preserve">A Semi-Mechanical PK-PD Model for </w:t>
      </w:r>
      <w:proofErr w:type="spellStart"/>
      <w:r w:rsidRPr="003266E1">
        <w:rPr>
          <w:rFonts w:ascii="Myriad Pro" w:eastAsia="Times New Roman" w:hAnsi="Myriad Pro" w:cs="Arial"/>
          <w:b/>
          <w:bCs/>
          <w:color w:val="000000"/>
          <w:kern w:val="36"/>
          <w:sz w:val="24"/>
          <w:szCs w:val="24"/>
        </w:rPr>
        <w:t>Rocuronium</w:t>
      </w:r>
      <w:proofErr w:type="spellEnd"/>
      <w:r w:rsidRPr="003266E1">
        <w:rPr>
          <w:rFonts w:ascii="Myriad Pro" w:eastAsia="Times New Roman" w:hAnsi="Myriad Pro" w:cs="Arial"/>
          <w:b/>
          <w:bCs/>
          <w:color w:val="000000"/>
          <w:kern w:val="36"/>
          <w:sz w:val="24"/>
          <w:szCs w:val="24"/>
        </w:rPr>
        <w:t xml:space="preserve"> and </w:t>
      </w:r>
      <w:proofErr w:type="spellStart"/>
      <w:r w:rsidRPr="003266E1">
        <w:rPr>
          <w:rFonts w:ascii="Myriad Pro" w:eastAsia="Times New Roman" w:hAnsi="Myriad Pro" w:cs="Arial"/>
          <w:b/>
          <w:bCs/>
          <w:color w:val="000000"/>
          <w:kern w:val="36"/>
          <w:sz w:val="24"/>
          <w:szCs w:val="24"/>
        </w:rPr>
        <w:t>Sugammadex</w:t>
      </w:r>
      <w:proofErr w:type="spellEnd"/>
      <w:r w:rsidRPr="003266E1">
        <w:rPr>
          <w:rFonts w:ascii="Myriad Pro" w:eastAsia="Times New Roman" w:hAnsi="Myriad Pro" w:cs="Arial"/>
          <w:b/>
          <w:bCs/>
          <w:color w:val="000000"/>
          <w:kern w:val="36"/>
          <w:sz w:val="24"/>
          <w:szCs w:val="24"/>
        </w:rPr>
        <w:t xml:space="preserve"> to Quantify Covariate Effects and Enable Prediction of (Reversal) of Neuromuscular Block in Various Scenarios</w:t>
      </w:r>
      <w:r>
        <w:rPr>
          <w:rFonts w:ascii="Myriad Pro" w:eastAsia="Times New Roman" w:hAnsi="Myriad Pro" w:cs="Arial"/>
          <w:b/>
          <w:bCs/>
          <w:color w:val="000000"/>
          <w:kern w:val="36"/>
          <w:sz w:val="24"/>
          <w:szCs w:val="24"/>
        </w:rPr>
        <w:br/>
      </w:r>
    </w:p>
    <w:p w14:paraId="14AF25D0" w14:textId="77777777" w:rsidR="00CA10AB" w:rsidRPr="003266E1" w:rsidRDefault="006C70DC" w:rsidP="00F01AB0">
      <w:pPr>
        <w:shd w:val="clear" w:color="auto" w:fill="FFFFFF"/>
        <w:spacing w:before="90" w:after="90" w:line="270" w:lineRule="atLeast"/>
        <w:outlineLvl w:val="0"/>
        <w:rPr>
          <w:rFonts w:ascii="Myriad Pro" w:eastAsia="Times New Roman" w:hAnsi="Myriad Pro" w:cs="Arial"/>
          <w:bCs/>
          <w:color w:val="000000"/>
          <w:kern w:val="36"/>
          <w:sz w:val="24"/>
          <w:szCs w:val="24"/>
        </w:rPr>
      </w:pPr>
      <w:proofErr w:type="spellStart"/>
      <w:r w:rsidRPr="003266E1">
        <w:rPr>
          <w:rFonts w:ascii="Myriad Pro" w:eastAsia="Times New Roman" w:hAnsi="Myriad Pro" w:cs="Arial"/>
          <w:bCs/>
          <w:color w:val="000000"/>
          <w:kern w:val="36"/>
          <w:sz w:val="24"/>
          <w:szCs w:val="24"/>
        </w:rPr>
        <w:t>Huub</w:t>
      </w:r>
      <w:proofErr w:type="spellEnd"/>
      <w:r w:rsidRPr="003266E1">
        <w:rPr>
          <w:rFonts w:ascii="Myriad Pro" w:eastAsia="Times New Roman" w:hAnsi="Myriad Pro" w:cs="Arial"/>
          <w:bCs/>
          <w:color w:val="000000"/>
          <w:kern w:val="36"/>
          <w:sz w:val="24"/>
          <w:szCs w:val="24"/>
        </w:rPr>
        <w:t xml:space="preserve"> J Kleijn</w:t>
      </w:r>
      <w:r w:rsidR="00CA10AB" w:rsidRPr="003266E1">
        <w:rPr>
          <w:rFonts w:ascii="Myriad Pro" w:eastAsia="Times New Roman" w:hAnsi="Myriad Pro" w:cs="Arial"/>
          <w:bCs/>
          <w:color w:val="000000"/>
          <w:kern w:val="36"/>
          <w:sz w:val="24"/>
          <w:szCs w:val="24"/>
          <w:vertAlign w:val="superscript"/>
        </w:rPr>
        <w:t>1</w:t>
      </w:r>
      <w:r w:rsidR="00145C56" w:rsidRPr="003266E1">
        <w:rPr>
          <w:rFonts w:ascii="Myriad Pro" w:eastAsia="Times New Roman" w:hAnsi="Myriad Pro" w:cs="Arial"/>
          <w:bCs/>
          <w:color w:val="000000"/>
          <w:kern w:val="36"/>
          <w:sz w:val="24"/>
          <w:szCs w:val="24"/>
        </w:rPr>
        <w:t>, MSc</w:t>
      </w:r>
      <w:r w:rsidR="003266E1">
        <w:rPr>
          <w:rFonts w:ascii="Myriad Pro" w:eastAsia="Times New Roman" w:hAnsi="Myriad Pro" w:cs="Arial"/>
          <w:bCs/>
          <w:color w:val="000000"/>
          <w:kern w:val="36"/>
          <w:sz w:val="24"/>
          <w:szCs w:val="24"/>
        </w:rPr>
        <w:t xml:space="preserve">, </w:t>
      </w:r>
      <w:proofErr w:type="spellStart"/>
      <w:r w:rsidR="00CA10AB" w:rsidRPr="003266E1">
        <w:rPr>
          <w:rFonts w:ascii="Myriad Pro" w:eastAsia="Times New Roman" w:hAnsi="Myriad Pro" w:cs="Arial"/>
          <w:bCs/>
          <w:color w:val="000000"/>
          <w:kern w:val="36"/>
          <w:sz w:val="24"/>
          <w:szCs w:val="24"/>
        </w:rPr>
        <w:t>Rik</w:t>
      </w:r>
      <w:proofErr w:type="spellEnd"/>
      <w:r w:rsidR="00CA10AB" w:rsidRPr="003266E1">
        <w:rPr>
          <w:rFonts w:ascii="Myriad Pro" w:eastAsia="Times New Roman" w:hAnsi="Myriad Pro" w:cs="Arial"/>
          <w:bCs/>
          <w:color w:val="000000"/>
          <w:kern w:val="36"/>
          <w:sz w:val="24"/>
          <w:szCs w:val="24"/>
        </w:rPr>
        <w:t xml:space="preserve"> de Greef</w:t>
      </w:r>
      <w:r w:rsidR="00CA10AB" w:rsidRPr="003266E1">
        <w:rPr>
          <w:rFonts w:ascii="Myriad Pro" w:eastAsia="Times New Roman" w:hAnsi="Myriad Pro" w:cs="Arial"/>
          <w:bCs/>
          <w:color w:val="000000"/>
          <w:kern w:val="36"/>
          <w:sz w:val="24"/>
          <w:szCs w:val="24"/>
          <w:vertAlign w:val="superscript"/>
        </w:rPr>
        <w:t>1</w:t>
      </w:r>
      <w:r w:rsidR="007E0F82" w:rsidRPr="003266E1">
        <w:rPr>
          <w:rFonts w:ascii="Myriad Pro" w:eastAsia="Times New Roman" w:hAnsi="Myriad Pro" w:cs="Arial"/>
          <w:bCs/>
          <w:color w:val="000000"/>
          <w:kern w:val="36"/>
          <w:sz w:val="24"/>
          <w:szCs w:val="24"/>
        </w:rPr>
        <w:t>, MSc;</w:t>
      </w:r>
      <w:r w:rsidR="00CA10AB" w:rsidRPr="003266E1">
        <w:rPr>
          <w:rFonts w:ascii="Myriad Pro" w:eastAsia="Times New Roman" w:hAnsi="Myriad Pro" w:cs="Arial"/>
          <w:bCs/>
          <w:color w:val="000000"/>
          <w:kern w:val="36"/>
          <w:sz w:val="24"/>
          <w:szCs w:val="24"/>
        </w:rPr>
        <w:t xml:space="preserve"> </w:t>
      </w:r>
      <w:proofErr w:type="spellStart"/>
      <w:r w:rsidR="00CA10AB" w:rsidRPr="003266E1">
        <w:rPr>
          <w:rFonts w:ascii="Myriad Pro" w:eastAsia="Times New Roman" w:hAnsi="Myriad Pro" w:cs="Arial"/>
          <w:bCs/>
          <w:color w:val="000000"/>
          <w:kern w:val="36"/>
          <w:sz w:val="24"/>
          <w:szCs w:val="24"/>
        </w:rPr>
        <w:t>Michiel</w:t>
      </w:r>
      <w:proofErr w:type="spellEnd"/>
      <w:r w:rsidR="00CA10AB" w:rsidRPr="003266E1">
        <w:rPr>
          <w:rFonts w:ascii="Myriad Pro" w:eastAsia="Times New Roman" w:hAnsi="Myriad Pro" w:cs="Arial"/>
          <w:bCs/>
          <w:color w:val="000000"/>
          <w:kern w:val="36"/>
          <w:sz w:val="24"/>
          <w:szCs w:val="24"/>
        </w:rPr>
        <w:t xml:space="preserve"> van den Heuvel</w:t>
      </w:r>
      <w:r w:rsidR="00CA10AB" w:rsidRPr="003266E1">
        <w:rPr>
          <w:rFonts w:ascii="Myriad Pro" w:eastAsia="Times New Roman" w:hAnsi="Myriad Pro" w:cs="Arial"/>
          <w:bCs/>
          <w:color w:val="000000"/>
          <w:kern w:val="36"/>
          <w:sz w:val="24"/>
          <w:szCs w:val="24"/>
          <w:vertAlign w:val="superscript"/>
        </w:rPr>
        <w:t>1</w:t>
      </w:r>
      <w:proofErr w:type="gramStart"/>
      <w:r w:rsidR="00CA10AB" w:rsidRPr="003266E1">
        <w:rPr>
          <w:rFonts w:ascii="Myriad Pro" w:eastAsia="Times New Roman" w:hAnsi="Myriad Pro" w:cs="Arial"/>
          <w:bCs/>
          <w:color w:val="000000"/>
          <w:kern w:val="36"/>
          <w:sz w:val="24"/>
          <w:szCs w:val="24"/>
        </w:rPr>
        <w:t>,</w:t>
      </w:r>
      <w:r w:rsidR="007E0F82" w:rsidRPr="003266E1">
        <w:rPr>
          <w:rFonts w:ascii="Myriad Pro" w:eastAsia="Times New Roman" w:hAnsi="Myriad Pro" w:cs="Arial"/>
          <w:bCs/>
          <w:color w:val="000000"/>
          <w:kern w:val="36"/>
          <w:sz w:val="24"/>
          <w:szCs w:val="24"/>
        </w:rPr>
        <w:t>MSc</w:t>
      </w:r>
      <w:proofErr w:type="gramEnd"/>
      <w:r w:rsidR="007E0F82" w:rsidRPr="003266E1">
        <w:rPr>
          <w:rFonts w:ascii="Myriad Pro" w:eastAsia="Times New Roman" w:hAnsi="Myriad Pro" w:cs="Arial"/>
          <w:bCs/>
          <w:color w:val="000000"/>
          <w:kern w:val="36"/>
          <w:sz w:val="24"/>
          <w:szCs w:val="24"/>
        </w:rPr>
        <w:t>;</w:t>
      </w:r>
      <w:r w:rsidR="00CA10AB" w:rsidRPr="003266E1">
        <w:rPr>
          <w:rFonts w:ascii="Myriad Pro" w:eastAsia="Times New Roman" w:hAnsi="Myriad Pro" w:cs="Arial"/>
          <w:bCs/>
          <w:color w:val="000000"/>
          <w:kern w:val="36"/>
          <w:sz w:val="24"/>
          <w:szCs w:val="24"/>
        </w:rPr>
        <w:t xml:space="preserve"> Pieter-Jan de Kam</w:t>
      </w:r>
      <w:r w:rsidR="00CA10AB" w:rsidRPr="003266E1">
        <w:rPr>
          <w:rFonts w:ascii="Myriad Pro" w:eastAsia="Times New Roman" w:hAnsi="Myriad Pro" w:cs="Arial"/>
          <w:bCs/>
          <w:color w:val="000000"/>
          <w:kern w:val="36"/>
          <w:sz w:val="24"/>
          <w:szCs w:val="24"/>
          <w:vertAlign w:val="superscript"/>
        </w:rPr>
        <w:t>1</w:t>
      </w:r>
      <w:r w:rsidR="00CA10AB" w:rsidRPr="003266E1">
        <w:rPr>
          <w:rFonts w:ascii="Myriad Pro" w:eastAsia="Times New Roman" w:hAnsi="Myriad Pro" w:cs="Arial"/>
          <w:bCs/>
          <w:color w:val="000000"/>
          <w:kern w:val="36"/>
          <w:sz w:val="24"/>
          <w:szCs w:val="24"/>
        </w:rPr>
        <w:t>,</w:t>
      </w:r>
      <w:r w:rsidR="007E0F82" w:rsidRPr="003266E1">
        <w:rPr>
          <w:rFonts w:ascii="Myriad Pro" w:eastAsia="Times New Roman" w:hAnsi="Myriad Pro" w:cs="Arial"/>
          <w:bCs/>
          <w:color w:val="000000"/>
          <w:kern w:val="36"/>
          <w:sz w:val="24"/>
          <w:szCs w:val="24"/>
        </w:rPr>
        <w:t xml:space="preserve"> PhD;</w:t>
      </w:r>
      <w:r w:rsidR="00CA10AB" w:rsidRPr="003266E1">
        <w:rPr>
          <w:rFonts w:ascii="Myriad Pro" w:eastAsia="Times New Roman" w:hAnsi="Myriad Pro" w:cs="Arial"/>
          <w:bCs/>
          <w:color w:val="000000"/>
          <w:kern w:val="36"/>
          <w:sz w:val="24"/>
          <w:szCs w:val="24"/>
        </w:rPr>
        <w:t xml:space="preserve"> Thomas Kerbusch</w:t>
      </w:r>
      <w:r w:rsidR="00CA10AB" w:rsidRPr="003266E1">
        <w:rPr>
          <w:rFonts w:ascii="Myriad Pro" w:eastAsia="Times New Roman" w:hAnsi="Myriad Pro" w:cs="Arial"/>
          <w:bCs/>
          <w:color w:val="000000"/>
          <w:kern w:val="36"/>
          <w:sz w:val="24"/>
          <w:szCs w:val="24"/>
          <w:vertAlign w:val="superscript"/>
        </w:rPr>
        <w:t>1</w:t>
      </w:r>
      <w:r w:rsidR="00CA10AB" w:rsidRPr="003266E1">
        <w:rPr>
          <w:rFonts w:ascii="Myriad Pro" w:eastAsia="Times New Roman" w:hAnsi="Myriad Pro" w:cs="Arial"/>
          <w:bCs/>
          <w:color w:val="000000"/>
          <w:kern w:val="36"/>
          <w:sz w:val="24"/>
          <w:szCs w:val="24"/>
        </w:rPr>
        <w:t>,</w:t>
      </w:r>
      <w:r w:rsidR="007E0F82" w:rsidRPr="003266E1">
        <w:rPr>
          <w:rFonts w:ascii="Myriad Pro" w:eastAsia="Times New Roman" w:hAnsi="Myriad Pro" w:cs="Arial"/>
          <w:bCs/>
          <w:color w:val="000000"/>
          <w:kern w:val="36"/>
          <w:sz w:val="24"/>
          <w:szCs w:val="24"/>
        </w:rPr>
        <w:t xml:space="preserve"> PhD;</w:t>
      </w:r>
      <w:r w:rsidR="00CA10AB" w:rsidRPr="003266E1">
        <w:rPr>
          <w:rFonts w:ascii="Myriad Pro" w:eastAsia="Times New Roman" w:hAnsi="Myriad Pro" w:cs="Arial"/>
          <w:bCs/>
          <w:color w:val="000000"/>
          <w:kern w:val="36"/>
          <w:sz w:val="24"/>
          <w:szCs w:val="24"/>
        </w:rPr>
        <w:t xml:space="preserve"> Daniel Zollinger</w:t>
      </w:r>
      <w:r w:rsidR="00CA10AB" w:rsidRPr="003266E1">
        <w:rPr>
          <w:rFonts w:ascii="Myriad Pro" w:eastAsia="Times New Roman" w:hAnsi="Myriad Pro" w:cs="Arial"/>
          <w:bCs/>
          <w:color w:val="000000"/>
          <w:kern w:val="36"/>
          <w:sz w:val="24"/>
          <w:szCs w:val="24"/>
          <w:vertAlign w:val="superscript"/>
        </w:rPr>
        <w:t>2</w:t>
      </w:r>
      <w:r w:rsidR="00CA10AB" w:rsidRPr="003266E1">
        <w:rPr>
          <w:rFonts w:ascii="Myriad Pro" w:eastAsia="Times New Roman" w:hAnsi="Myriad Pro" w:cs="Arial"/>
          <w:bCs/>
          <w:color w:val="000000"/>
          <w:kern w:val="36"/>
          <w:sz w:val="24"/>
          <w:szCs w:val="24"/>
        </w:rPr>
        <w:t>,</w:t>
      </w:r>
      <w:r w:rsidR="007E0F82" w:rsidRPr="003266E1">
        <w:rPr>
          <w:rFonts w:ascii="Myriad Pro" w:eastAsia="Times New Roman" w:hAnsi="Myriad Pro" w:cs="Arial"/>
          <w:bCs/>
          <w:color w:val="000000"/>
          <w:kern w:val="36"/>
          <w:sz w:val="24"/>
          <w:szCs w:val="24"/>
        </w:rPr>
        <w:t xml:space="preserve"> PhD;</w:t>
      </w:r>
      <w:r w:rsidR="00CA10AB" w:rsidRPr="003266E1">
        <w:rPr>
          <w:rFonts w:ascii="Myriad Pro" w:eastAsia="Times New Roman" w:hAnsi="Myriad Pro" w:cs="Arial"/>
          <w:bCs/>
          <w:color w:val="000000"/>
          <w:kern w:val="36"/>
          <w:sz w:val="24"/>
          <w:szCs w:val="24"/>
        </w:rPr>
        <w:t xml:space="preserve"> Marie-Jose Lierop</w:t>
      </w:r>
      <w:r w:rsidR="00CA10AB" w:rsidRPr="003266E1">
        <w:rPr>
          <w:rFonts w:ascii="Myriad Pro" w:eastAsia="Times New Roman" w:hAnsi="Myriad Pro" w:cs="Arial"/>
          <w:bCs/>
          <w:color w:val="000000"/>
          <w:kern w:val="36"/>
          <w:sz w:val="24"/>
          <w:szCs w:val="24"/>
          <w:vertAlign w:val="superscript"/>
        </w:rPr>
        <w:t>1</w:t>
      </w:r>
      <w:r w:rsidR="007E0F82" w:rsidRPr="003266E1">
        <w:rPr>
          <w:rFonts w:ascii="Myriad Pro" w:eastAsia="Times New Roman" w:hAnsi="Myriad Pro" w:cs="Arial"/>
          <w:bCs/>
          <w:color w:val="000000"/>
          <w:kern w:val="36"/>
          <w:sz w:val="24"/>
          <w:szCs w:val="24"/>
        </w:rPr>
        <w:t>, PhD</w:t>
      </w:r>
    </w:p>
    <w:p w14:paraId="1E4A5848" w14:textId="77777777" w:rsidR="00F01AB0" w:rsidRPr="003266E1" w:rsidRDefault="00CA10AB" w:rsidP="00F01AB0">
      <w:pPr>
        <w:shd w:val="clear" w:color="auto" w:fill="FFFFFF"/>
        <w:spacing w:after="0" w:line="255" w:lineRule="atLeast"/>
        <w:ind w:right="60"/>
        <w:outlineLvl w:val="3"/>
        <w:rPr>
          <w:rFonts w:ascii="Myriad Pro" w:eastAsia="Times New Roman" w:hAnsi="Myriad Pro" w:cs="Arial"/>
          <w:bCs/>
          <w:caps/>
          <w:color w:val="000000"/>
          <w:sz w:val="24"/>
          <w:szCs w:val="24"/>
        </w:rPr>
      </w:pPr>
      <w:r w:rsidRPr="003266E1">
        <w:rPr>
          <w:rFonts w:ascii="Myriad Pro" w:eastAsia="Times New Roman" w:hAnsi="Myriad Pro" w:cs="Arial"/>
          <w:bCs/>
          <w:color w:val="000000"/>
          <w:kern w:val="36"/>
          <w:sz w:val="24"/>
          <w:szCs w:val="24"/>
          <w:vertAlign w:val="superscript"/>
        </w:rPr>
        <w:t xml:space="preserve">1 </w:t>
      </w:r>
      <w:r w:rsidRPr="003266E1">
        <w:rPr>
          <w:rFonts w:ascii="Myriad Pro" w:eastAsia="Times New Roman" w:hAnsi="Myriad Pro" w:cs="Arial"/>
          <w:bCs/>
          <w:color w:val="000000"/>
          <w:kern w:val="36"/>
          <w:sz w:val="24"/>
          <w:szCs w:val="24"/>
        </w:rPr>
        <w:t xml:space="preserve">Merck Research Laboratories, Whitehouse Station, NJ, US; </w:t>
      </w:r>
      <w:r w:rsidRPr="003266E1">
        <w:rPr>
          <w:rFonts w:ascii="Myriad Pro" w:eastAsia="Times New Roman" w:hAnsi="Myriad Pro" w:cs="Arial"/>
          <w:bCs/>
          <w:color w:val="000000"/>
          <w:kern w:val="36"/>
          <w:sz w:val="24"/>
          <w:szCs w:val="24"/>
          <w:vertAlign w:val="superscript"/>
        </w:rPr>
        <w:t xml:space="preserve">2 </w:t>
      </w:r>
      <w:proofErr w:type="spellStart"/>
      <w:r w:rsidRPr="003266E1">
        <w:rPr>
          <w:rFonts w:ascii="Myriad Pro" w:eastAsia="Times New Roman" w:hAnsi="Myriad Pro" w:cs="Arial"/>
          <w:bCs/>
          <w:color w:val="000000"/>
          <w:kern w:val="36"/>
          <w:sz w:val="24"/>
          <w:szCs w:val="24"/>
        </w:rPr>
        <w:t>Okklo</w:t>
      </w:r>
      <w:proofErr w:type="spellEnd"/>
      <w:r w:rsidRPr="003266E1">
        <w:rPr>
          <w:rFonts w:ascii="Myriad Pro" w:eastAsia="Times New Roman" w:hAnsi="Myriad Pro" w:cs="Arial"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3266E1">
        <w:rPr>
          <w:rFonts w:ascii="Myriad Pro" w:eastAsia="Times New Roman" w:hAnsi="Myriad Pro" w:cs="Arial"/>
          <w:bCs/>
          <w:color w:val="000000"/>
          <w:kern w:val="36"/>
          <w:sz w:val="24"/>
          <w:szCs w:val="24"/>
        </w:rPr>
        <w:t>lifescience</w:t>
      </w:r>
      <w:proofErr w:type="spellEnd"/>
      <w:r w:rsidRPr="003266E1">
        <w:rPr>
          <w:rFonts w:ascii="Myriad Pro" w:eastAsia="Times New Roman" w:hAnsi="Myriad Pro" w:cs="Arial"/>
          <w:bCs/>
          <w:color w:val="000000"/>
          <w:kern w:val="36"/>
          <w:sz w:val="24"/>
          <w:szCs w:val="24"/>
        </w:rPr>
        <w:t xml:space="preserve"> BV, Oss, The Netherlands</w:t>
      </w:r>
    </w:p>
    <w:p w14:paraId="25299315" w14:textId="77777777" w:rsidR="00E04AAF" w:rsidRPr="003266E1" w:rsidRDefault="00E04AAF" w:rsidP="00F01AB0">
      <w:pPr>
        <w:shd w:val="clear" w:color="auto" w:fill="FFFFFF"/>
        <w:spacing w:after="0" w:line="255" w:lineRule="atLeast"/>
        <w:ind w:right="60"/>
        <w:outlineLvl w:val="3"/>
        <w:rPr>
          <w:rFonts w:ascii="Myriad Pro" w:eastAsia="Times New Roman" w:hAnsi="Myriad Pro" w:cs="Arial"/>
          <w:b/>
          <w:bCs/>
          <w:caps/>
          <w:color w:val="000000"/>
          <w:sz w:val="24"/>
          <w:szCs w:val="24"/>
        </w:rPr>
      </w:pPr>
    </w:p>
    <w:p w14:paraId="46FC46B3" w14:textId="77777777" w:rsidR="00F01AB0" w:rsidRPr="003266E1" w:rsidRDefault="00F36729" w:rsidP="003266E1">
      <w:pPr>
        <w:shd w:val="clear" w:color="auto" w:fill="FFFFFF"/>
        <w:spacing w:after="0" w:line="255" w:lineRule="atLeast"/>
        <w:ind w:right="60"/>
        <w:outlineLvl w:val="3"/>
        <w:rPr>
          <w:rFonts w:ascii="Myriad Pro" w:eastAsia="Times New Roman" w:hAnsi="Myriad Pro" w:cs="Arial"/>
          <w:b/>
          <w:bCs/>
          <w:caps/>
          <w:color w:val="000000"/>
          <w:sz w:val="24"/>
          <w:szCs w:val="24"/>
        </w:rPr>
      </w:pPr>
      <w:r w:rsidRPr="003266E1">
        <w:rPr>
          <w:rFonts w:ascii="Myriad Pro" w:eastAsia="Times New Roman" w:hAnsi="Myriad Pro" w:cs="Arial"/>
          <w:b/>
          <w:bCs/>
          <w:caps/>
          <w:color w:val="000000"/>
          <w:sz w:val="24"/>
          <w:szCs w:val="24"/>
        </w:rPr>
        <w:t>introduction</w:t>
      </w:r>
      <w:r w:rsidR="00F01AB0" w:rsidRPr="003266E1">
        <w:rPr>
          <w:rFonts w:ascii="Myriad Pro" w:eastAsia="Times New Roman" w:hAnsi="Myriad Pro" w:cs="Arial"/>
          <w:b/>
          <w:bCs/>
          <w:caps/>
          <w:color w:val="000000"/>
          <w:sz w:val="24"/>
          <w:szCs w:val="24"/>
        </w:rPr>
        <w:t>:</w:t>
      </w:r>
      <w:r w:rsidR="003266E1">
        <w:rPr>
          <w:rFonts w:ascii="Myriad Pro" w:eastAsia="Times New Roman" w:hAnsi="Myriad Pro" w:cs="Arial"/>
          <w:b/>
          <w:bCs/>
          <w:caps/>
          <w:color w:val="000000"/>
          <w:sz w:val="24"/>
          <w:szCs w:val="24"/>
        </w:rPr>
        <w:t xml:space="preserve"> </w:t>
      </w:r>
      <w:r w:rsidR="00F01AB0" w:rsidRPr="003266E1">
        <w:rPr>
          <w:rFonts w:ascii="Myriad Pro" w:eastAsia="Times New Roman" w:hAnsi="Myriad Pro" w:cs="Arial"/>
          <w:color w:val="000000"/>
          <w:sz w:val="24"/>
          <w:szCs w:val="24"/>
        </w:rPr>
        <w:t>An integrated population pharmacokinetic-</w:t>
      </w:r>
      <w:proofErr w:type="spellStart"/>
      <w:r w:rsidR="00F01AB0" w:rsidRPr="003266E1">
        <w:rPr>
          <w:rFonts w:ascii="Myriad Pro" w:eastAsia="Times New Roman" w:hAnsi="Myriad Pro" w:cs="Arial"/>
          <w:color w:val="000000"/>
          <w:sz w:val="24"/>
          <w:szCs w:val="24"/>
        </w:rPr>
        <w:t>pharmacodynamic</w:t>
      </w:r>
      <w:proofErr w:type="spellEnd"/>
      <w:r w:rsidR="00F01AB0" w:rsidRPr="003266E1">
        <w:rPr>
          <w:rFonts w:ascii="Myriad Pro" w:eastAsia="Times New Roman" w:hAnsi="Myriad Pro" w:cs="Arial"/>
          <w:color w:val="000000"/>
          <w:sz w:val="24"/>
          <w:szCs w:val="24"/>
        </w:rPr>
        <w:t xml:space="preserve"> model was developed with the following aims: to simultaneously describe pharmacokinetic </w:t>
      </w:r>
      <w:proofErr w:type="spellStart"/>
      <w:r w:rsidR="00F01AB0" w:rsidRPr="003266E1">
        <w:rPr>
          <w:rFonts w:ascii="Myriad Pro" w:eastAsia="Times New Roman" w:hAnsi="Myriad Pro" w:cs="Arial"/>
          <w:color w:val="000000"/>
          <w:sz w:val="24"/>
          <w:szCs w:val="24"/>
        </w:rPr>
        <w:t>behaviour</w:t>
      </w:r>
      <w:proofErr w:type="spellEnd"/>
      <w:r w:rsidR="00F01AB0" w:rsidRPr="003266E1">
        <w:rPr>
          <w:rFonts w:ascii="Myriad Pro" w:eastAsia="Times New Roman" w:hAnsi="Myriad Pro" w:cs="Arial"/>
          <w:color w:val="000000"/>
          <w:sz w:val="24"/>
          <w:szCs w:val="24"/>
        </w:rPr>
        <w:t xml:space="preserve"> of </w:t>
      </w:r>
      <w:proofErr w:type="spellStart"/>
      <w:r w:rsidR="00F01AB0" w:rsidRPr="003266E1">
        <w:rPr>
          <w:rFonts w:ascii="Myriad Pro" w:eastAsia="Times New Roman" w:hAnsi="Myriad Pro" w:cs="Arial"/>
          <w:color w:val="000000"/>
          <w:sz w:val="24"/>
          <w:szCs w:val="24"/>
        </w:rPr>
        <w:t>sugammadex</w:t>
      </w:r>
      <w:proofErr w:type="spellEnd"/>
      <w:r w:rsidR="00F01AB0" w:rsidRPr="003266E1">
        <w:rPr>
          <w:rFonts w:ascii="Myriad Pro" w:eastAsia="Times New Roman" w:hAnsi="Myriad Pro" w:cs="Arial"/>
          <w:color w:val="000000"/>
          <w:sz w:val="24"/>
          <w:szCs w:val="24"/>
        </w:rPr>
        <w:t xml:space="preserve"> and </w:t>
      </w:r>
      <w:proofErr w:type="spellStart"/>
      <w:r w:rsidR="00F01AB0" w:rsidRPr="003266E1">
        <w:rPr>
          <w:rFonts w:ascii="Myriad Pro" w:eastAsia="Times New Roman" w:hAnsi="Myriad Pro" w:cs="Arial"/>
          <w:color w:val="000000"/>
          <w:sz w:val="24"/>
          <w:szCs w:val="24"/>
        </w:rPr>
        <w:t>rocuronium</w:t>
      </w:r>
      <w:proofErr w:type="spellEnd"/>
      <w:r w:rsidR="00F01AB0" w:rsidRPr="003266E1">
        <w:rPr>
          <w:rFonts w:ascii="Myriad Pro" w:eastAsia="Times New Roman" w:hAnsi="Myriad Pro" w:cs="Arial"/>
          <w:color w:val="000000"/>
          <w:sz w:val="24"/>
          <w:szCs w:val="24"/>
        </w:rPr>
        <w:t>; to establish the pharmacokinetic-</w:t>
      </w:r>
      <w:proofErr w:type="spellStart"/>
      <w:r w:rsidR="00F01AB0" w:rsidRPr="003266E1">
        <w:rPr>
          <w:rFonts w:ascii="Myriad Pro" w:eastAsia="Times New Roman" w:hAnsi="Myriad Pro" w:cs="Arial"/>
          <w:color w:val="000000"/>
          <w:sz w:val="24"/>
          <w:szCs w:val="24"/>
        </w:rPr>
        <w:t>pharmacodynamic</w:t>
      </w:r>
      <w:proofErr w:type="spellEnd"/>
      <w:r w:rsidR="00F01AB0" w:rsidRPr="003266E1">
        <w:rPr>
          <w:rFonts w:ascii="Myriad Pro" w:eastAsia="Times New Roman" w:hAnsi="Myriad Pro" w:cs="Arial"/>
          <w:color w:val="000000"/>
          <w:sz w:val="24"/>
          <w:szCs w:val="24"/>
        </w:rPr>
        <w:t xml:space="preserve"> model for </w:t>
      </w:r>
      <w:proofErr w:type="spellStart"/>
      <w:r w:rsidR="00F01AB0" w:rsidRPr="003266E1">
        <w:rPr>
          <w:rFonts w:ascii="Myriad Pro" w:eastAsia="Times New Roman" w:hAnsi="Myriad Pro" w:cs="Arial"/>
          <w:color w:val="000000"/>
          <w:sz w:val="24"/>
          <w:szCs w:val="24"/>
        </w:rPr>
        <w:t>rocuronium</w:t>
      </w:r>
      <w:proofErr w:type="spellEnd"/>
      <w:r w:rsidR="00F01AB0" w:rsidRPr="003266E1">
        <w:rPr>
          <w:rFonts w:ascii="Myriad Pro" w:eastAsia="Times New Roman" w:hAnsi="Myriad Pro" w:cs="Arial"/>
          <w:color w:val="000000"/>
          <w:sz w:val="24"/>
          <w:szCs w:val="24"/>
        </w:rPr>
        <w:t xml:space="preserve">-induced neuromuscular blockade </w:t>
      </w:r>
      <w:r w:rsidR="00DF2DB6" w:rsidRPr="003266E1">
        <w:rPr>
          <w:rFonts w:ascii="Myriad Pro" w:eastAsia="Times New Roman" w:hAnsi="Myriad Pro" w:cs="Arial"/>
          <w:color w:val="000000"/>
          <w:sz w:val="24"/>
          <w:szCs w:val="24"/>
        </w:rPr>
        <w:t xml:space="preserve">(NMB) </w:t>
      </w:r>
      <w:r w:rsidR="00F01AB0" w:rsidRPr="003266E1">
        <w:rPr>
          <w:rFonts w:ascii="Myriad Pro" w:eastAsia="Times New Roman" w:hAnsi="Myriad Pro" w:cs="Arial"/>
          <w:color w:val="000000"/>
          <w:sz w:val="24"/>
          <w:szCs w:val="24"/>
        </w:rPr>
        <w:t xml:space="preserve">and reversal by </w:t>
      </w:r>
      <w:proofErr w:type="spellStart"/>
      <w:r w:rsidR="00F01AB0" w:rsidRPr="003266E1">
        <w:rPr>
          <w:rFonts w:ascii="Myriad Pro" w:eastAsia="Times New Roman" w:hAnsi="Myriad Pro" w:cs="Arial"/>
          <w:color w:val="000000"/>
          <w:sz w:val="24"/>
          <w:szCs w:val="24"/>
        </w:rPr>
        <w:t>sugammadex</w:t>
      </w:r>
      <w:proofErr w:type="spellEnd"/>
      <w:r w:rsidR="00F01AB0" w:rsidRPr="003266E1">
        <w:rPr>
          <w:rFonts w:ascii="Myriad Pro" w:eastAsia="Times New Roman" w:hAnsi="Myriad Pro" w:cs="Arial"/>
          <w:color w:val="000000"/>
          <w:sz w:val="24"/>
          <w:szCs w:val="24"/>
        </w:rPr>
        <w:t>; to evaluate covariate effects</w:t>
      </w:r>
      <w:r w:rsidR="00887166" w:rsidRPr="003266E1">
        <w:rPr>
          <w:rFonts w:ascii="Myriad Pro" w:eastAsia="Times New Roman" w:hAnsi="Myriad Pro" w:cs="Arial"/>
          <w:color w:val="000000"/>
          <w:sz w:val="24"/>
          <w:szCs w:val="24"/>
        </w:rPr>
        <w:t xml:space="preserve"> and </w:t>
      </w:r>
      <w:r w:rsidR="00F01AB0" w:rsidRPr="003266E1">
        <w:rPr>
          <w:rFonts w:ascii="Myriad Pro" w:eastAsia="Times New Roman" w:hAnsi="Myriad Pro" w:cs="Arial"/>
          <w:color w:val="000000"/>
          <w:sz w:val="24"/>
          <w:szCs w:val="24"/>
        </w:rPr>
        <w:t>explore</w:t>
      </w:r>
      <w:r w:rsidR="00887166" w:rsidRPr="003266E1">
        <w:rPr>
          <w:rFonts w:ascii="Myriad Pro" w:eastAsia="Times New Roman" w:hAnsi="Myriad Pro" w:cs="Arial"/>
          <w:color w:val="000000"/>
          <w:sz w:val="24"/>
          <w:szCs w:val="24"/>
        </w:rPr>
        <w:t xml:space="preserve"> impact</w:t>
      </w:r>
      <w:r w:rsidR="00F01AB0" w:rsidRPr="003266E1">
        <w:rPr>
          <w:rFonts w:ascii="Myriad Pro" w:eastAsia="Times New Roman" w:hAnsi="Myriad Pro" w:cs="Arial"/>
          <w:color w:val="000000"/>
          <w:sz w:val="24"/>
          <w:szCs w:val="24"/>
        </w:rPr>
        <w:t xml:space="preserve"> on reversal time</w:t>
      </w:r>
      <w:r w:rsidR="00167994" w:rsidRPr="003266E1">
        <w:rPr>
          <w:rFonts w:ascii="Myriad Pro" w:eastAsia="Times New Roman" w:hAnsi="Myriad Pro" w:cs="Arial"/>
          <w:color w:val="000000"/>
          <w:sz w:val="24"/>
          <w:szCs w:val="24"/>
        </w:rPr>
        <w:t>;</w:t>
      </w:r>
      <w:r w:rsidR="00735070" w:rsidRPr="003266E1">
        <w:rPr>
          <w:rFonts w:ascii="Myriad Pro" w:eastAsia="Times New Roman" w:hAnsi="Myriad Pro" w:cs="Arial"/>
          <w:color w:val="000000"/>
          <w:sz w:val="24"/>
          <w:szCs w:val="24"/>
        </w:rPr>
        <w:t xml:space="preserve"> to simulate re-use of </w:t>
      </w:r>
      <w:proofErr w:type="spellStart"/>
      <w:r w:rsidR="00735070" w:rsidRPr="003266E1">
        <w:rPr>
          <w:rFonts w:ascii="Myriad Pro" w:eastAsia="Times New Roman" w:hAnsi="Myriad Pro" w:cs="Arial"/>
          <w:color w:val="000000"/>
          <w:sz w:val="24"/>
          <w:szCs w:val="24"/>
        </w:rPr>
        <w:t>rocuronium</w:t>
      </w:r>
      <w:proofErr w:type="spellEnd"/>
      <w:r w:rsidR="00735070" w:rsidRPr="003266E1">
        <w:rPr>
          <w:rFonts w:ascii="Myriad Pro" w:eastAsia="Times New Roman" w:hAnsi="Myriad Pro" w:cs="Arial"/>
          <w:color w:val="000000"/>
          <w:sz w:val="24"/>
          <w:szCs w:val="24"/>
        </w:rPr>
        <w:t xml:space="preserve"> after </w:t>
      </w:r>
      <w:proofErr w:type="spellStart"/>
      <w:r w:rsidR="00735070" w:rsidRPr="003266E1">
        <w:rPr>
          <w:rFonts w:ascii="Myriad Pro" w:eastAsia="Times New Roman" w:hAnsi="Myriad Pro" w:cs="Arial"/>
          <w:color w:val="000000"/>
          <w:sz w:val="24"/>
          <w:szCs w:val="24"/>
        </w:rPr>
        <w:t>sugammadex</w:t>
      </w:r>
      <w:proofErr w:type="spellEnd"/>
      <w:r w:rsidRPr="003266E1">
        <w:rPr>
          <w:rFonts w:ascii="Myriad Pro" w:eastAsia="Times New Roman" w:hAnsi="Myriad Pro" w:cs="Arial"/>
          <w:color w:val="000000"/>
          <w:sz w:val="24"/>
          <w:szCs w:val="24"/>
        </w:rPr>
        <w:t xml:space="preserve"> treatment</w:t>
      </w:r>
      <w:r w:rsidR="00F01AB0" w:rsidRPr="003266E1">
        <w:rPr>
          <w:rFonts w:ascii="Myriad Pro" w:eastAsia="Times New Roman" w:hAnsi="Myriad Pro" w:cs="Arial"/>
          <w:color w:val="000000"/>
          <w:sz w:val="24"/>
          <w:szCs w:val="24"/>
        </w:rPr>
        <w:t>.</w:t>
      </w:r>
    </w:p>
    <w:p w14:paraId="57311219" w14:textId="77777777" w:rsidR="003266E1" w:rsidRDefault="003266E1" w:rsidP="00F01AB0">
      <w:pPr>
        <w:shd w:val="clear" w:color="auto" w:fill="FFFFFF"/>
        <w:spacing w:after="0" w:line="255" w:lineRule="atLeast"/>
        <w:ind w:right="60"/>
        <w:outlineLvl w:val="3"/>
        <w:rPr>
          <w:rFonts w:ascii="Myriad Pro" w:eastAsia="Times New Roman" w:hAnsi="Myriad Pro" w:cs="Arial"/>
          <w:b/>
          <w:bCs/>
          <w:caps/>
          <w:color w:val="000000"/>
          <w:sz w:val="24"/>
          <w:szCs w:val="24"/>
        </w:rPr>
      </w:pPr>
    </w:p>
    <w:p w14:paraId="10903774" w14:textId="77777777" w:rsidR="00F01AB0" w:rsidRPr="003266E1" w:rsidRDefault="00F01AB0" w:rsidP="003266E1">
      <w:pPr>
        <w:shd w:val="clear" w:color="auto" w:fill="FFFFFF"/>
        <w:spacing w:after="0" w:line="255" w:lineRule="atLeast"/>
        <w:ind w:right="60"/>
        <w:outlineLvl w:val="3"/>
        <w:rPr>
          <w:rFonts w:ascii="Myriad Pro" w:eastAsia="Times New Roman" w:hAnsi="Myriad Pro" w:cs="Arial"/>
          <w:b/>
          <w:bCs/>
          <w:caps/>
          <w:color w:val="000000"/>
          <w:sz w:val="24"/>
          <w:szCs w:val="24"/>
        </w:rPr>
      </w:pPr>
      <w:r w:rsidRPr="003266E1">
        <w:rPr>
          <w:rFonts w:ascii="Myriad Pro" w:eastAsia="Times New Roman" w:hAnsi="Myriad Pro" w:cs="Arial"/>
          <w:b/>
          <w:bCs/>
          <w:caps/>
          <w:color w:val="000000"/>
          <w:sz w:val="24"/>
          <w:szCs w:val="24"/>
        </w:rPr>
        <w:t>METHOD:</w:t>
      </w:r>
      <w:r w:rsidR="003266E1">
        <w:rPr>
          <w:rFonts w:ascii="Myriad Pro" w:eastAsia="Times New Roman" w:hAnsi="Myriad Pro" w:cs="Arial"/>
          <w:b/>
          <w:bCs/>
          <w:caps/>
          <w:color w:val="000000"/>
          <w:sz w:val="24"/>
          <w:szCs w:val="24"/>
        </w:rPr>
        <w:t xml:space="preserve"> </w:t>
      </w:r>
      <w:r w:rsidR="004116B8" w:rsidRPr="003266E1">
        <w:rPr>
          <w:rFonts w:ascii="Myriad Pro" w:eastAsia="Times New Roman" w:hAnsi="Myriad Pro" w:cs="Arial"/>
          <w:color w:val="000000"/>
          <w:sz w:val="24"/>
          <w:szCs w:val="24"/>
        </w:rPr>
        <w:t xml:space="preserve">Data </w:t>
      </w:r>
      <w:r w:rsidR="00167994" w:rsidRPr="003266E1">
        <w:rPr>
          <w:rFonts w:ascii="Myriad Pro" w:eastAsia="Times New Roman" w:hAnsi="Myriad Pro" w:cs="Arial"/>
          <w:color w:val="000000"/>
          <w:sz w:val="24"/>
          <w:szCs w:val="24"/>
        </w:rPr>
        <w:t xml:space="preserve">were pooled </w:t>
      </w:r>
      <w:r w:rsidRPr="003266E1">
        <w:rPr>
          <w:rFonts w:ascii="Myriad Pro" w:eastAsia="Times New Roman" w:hAnsi="Myriad Pro" w:cs="Arial"/>
          <w:color w:val="000000"/>
          <w:sz w:val="24"/>
          <w:szCs w:val="24"/>
        </w:rPr>
        <w:t xml:space="preserve">from </w:t>
      </w:r>
      <w:r w:rsidR="00735070" w:rsidRPr="003266E1">
        <w:rPr>
          <w:rFonts w:ascii="Myriad Pro" w:eastAsia="Times New Roman" w:hAnsi="Myriad Pro" w:cs="Arial"/>
          <w:color w:val="000000"/>
          <w:sz w:val="24"/>
          <w:szCs w:val="24"/>
        </w:rPr>
        <w:t>ten</w:t>
      </w:r>
      <w:r w:rsidRPr="003266E1">
        <w:rPr>
          <w:rFonts w:ascii="Myriad Pro" w:eastAsia="Times New Roman" w:hAnsi="Myriad Pro" w:cs="Arial"/>
          <w:color w:val="000000"/>
          <w:sz w:val="24"/>
          <w:szCs w:val="24"/>
        </w:rPr>
        <w:t xml:space="preserve"> clinical studies </w:t>
      </w:r>
      <w:r w:rsidR="0063080C" w:rsidRPr="003266E1">
        <w:rPr>
          <w:rFonts w:ascii="Myriad Pro" w:eastAsia="Times New Roman" w:hAnsi="Myriad Pro" w:cs="Arial"/>
          <w:color w:val="000000"/>
          <w:sz w:val="24"/>
          <w:szCs w:val="24"/>
        </w:rPr>
        <w:t xml:space="preserve">(n=513).  The sample included </w:t>
      </w:r>
      <w:r w:rsidRPr="003266E1">
        <w:rPr>
          <w:rFonts w:ascii="Myriad Pro" w:eastAsia="Times New Roman" w:hAnsi="Myriad Pro" w:cs="Arial"/>
          <w:color w:val="000000"/>
          <w:sz w:val="24"/>
          <w:szCs w:val="24"/>
        </w:rPr>
        <w:t xml:space="preserve">men, women, non-Asians, Asians, </w:t>
      </w:r>
      <w:r w:rsidR="00C90B4B" w:rsidRPr="003266E1">
        <w:rPr>
          <w:rFonts w:ascii="Myriad Pro" w:eastAsia="Times New Roman" w:hAnsi="Myriad Pro" w:cs="Arial"/>
          <w:color w:val="000000"/>
          <w:sz w:val="24"/>
          <w:szCs w:val="24"/>
        </w:rPr>
        <w:t>pediatric</w:t>
      </w:r>
      <w:r w:rsidRPr="003266E1">
        <w:rPr>
          <w:rFonts w:ascii="Myriad Pro" w:eastAsia="Times New Roman" w:hAnsi="Myriad Pro" w:cs="Arial"/>
          <w:color w:val="000000"/>
          <w:sz w:val="24"/>
          <w:szCs w:val="24"/>
        </w:rPr>
        <w:t>, adult</w:t>
      </w:r>
      <w:r w:rsidR="0063080C" w:rsidRPr="003266E1">
        <w:rPr>
          <w:rFonts w:ascii="Myriad Pro" w:eastAsia="Times New Roman" w:hAnsi="Myriad Pro" w:cs="Arial"/>
          <w:color w:val="000000"/>
          <w:sz w:val="24"/>
          <w:szCs w:val="24"/>
        </w:rPr>
        <w:t>,</w:t>
      </w:r>
      <w:r w:rsidRPr="003266E1">
        <w:rPr>
          <w:rFonts w:ascii="Myriad Pro" w:eastAsia="Times New Roman" w:hAnsi="Myriad Pro" w:cs="Arial"/>
          <w:color w:val="000000"/>
          <w:sz w:val="24"/>
          <w:szCs w:val="24"/>
        </w:rPr>
        <w:t xml:space="preserve"> and elderly</w:t>
      </w:r>
      <w:r w:rsidR="0063080C" w:rsidRPr="003266E1">
        <w:rPr>
          <w:rFonts w:ascii="Myriad Pro" w:eastAsia="Times New Roman" w:hAnsi="Myriad Pro" w:cs="Arial"/>
          <w:color w:val="000000"/>
          <w:sz w:val="24"/>
          <w:szCs w:val="24"/>
        </w:rPr>
        <w:t xml:space="preserve"> patients</w:t>
      </w:r>
      <w:r w:rsidRPr="003266E1">
        <w:rPr>
          <w:rFonts w:ascii="Myriad Pro" w:eastAsia="Times New Roman" w:hAnsi="Myriad Pro" w:cs="Arial"/>
          <w:color w:val="000000"/>
          <w:sz w:val="24"/>
          <w:szCs w:val="24"/>
        </w:rPr>
        <w:t xml:space="preserve"> with various degrees of renal impairment. </w:t>
      </w:r>
      <w:proofErr w:type="spellStart"/>
      <w:r w:rsidRPr="003266E1">
        <w:rPr>
          <w:rFonts w:ascii="Myriad Pro" w:eastAsia="Times New Roman" w:hAnsi="Myriad Pro" w:cs="Arial"/>
          <w:color w:val="000000"/>
          <w:sz w:val="24"/>
          <w:szCs w:val="24"/>
        </w:rPr>
        <w:t>Modelling</w:t>
      </w:r>
      <w:proofErr w:type="spellEnd"/>
      <w:r w:rsidRPr="003266E1">
        <w:rPr>
          <w:rFonts w:ascii="Myriad Pro" w:eastAsia="Times New Roman" w:hAnsi="Myriad Pro" w:cs="Arial"/>
          <w:color w:val="000000"/>
          <w:sz w:val="24"/>
          <w:szCs w:val="24"/>
        </w:rPr>
        <w:t xml:space="preserve"> techniques based on physiological principles were applied to capture </w:t>
      </w:r>
      <w:proofErr w:type="spellStart"/>
      <w:r w:rsidRPr="003266E1">
        <w:rPr>
          <w:rFonts w:ascii="Myriad Pro" w:eastAsia="Times New Roman" w:hAnsi="Myriad Pro" w:cs="Arial"/>
          <w:color w:val="000000"/>
          <w:sz w:val="24"/>
          <w:szCs w:val="24"/>
        </w:rPr>
        <w:t>rocuronium</w:t>
      </w:r>
      <w:proofErr w:type="spellEnd"/>
      <w:r w:rsidRPr="003266E1">
        <w:rPr>
          <w:rFonts w:ascii="Myriad Pro" w:eastAsia="Times New Roman" w:hAnsi="Myriad Pro" w:cs="Arial"/>
          <w:color w:val="000000"/>
          <w:sz w:val="24"/>
          <w:szCs w:val="24"/>
        </w:rPr>
        <w:t xml:space="preserve"> and </w:t>
      </w:r>
      <w:proofErr w:type="spellStart"/>
      <w:r w:rsidRPr="003266E1">
        <w:rPr>
          <w:rFonts w:ascii="Myriad Pro" w:eastAsia="Times New Roman" w:hAnsi="Myriad Pro" w:cs="Arial"/>
          <w:color w:val="000000"/>
          <w:sz w:val="24"/>
          <w:szCs w:val="24"/>
        </w:rPr>
        <w:t>sugammadex</w:t>
      </w:r>
      <w:proofErr w:type="spellEnd"/>
      <w:r w:rsidRPr="003266E1">
        <w:rPr>
          <w:rFonts w:ascii="Myriad Pro" w:eastAsia="Times New Roman" w:hAnsi="Myriad Pro" w:cs="Arial"/>
          <w:color w:val="000000"/>
          <w:sz w:val="24"/>
          <w:szCs w:val="24"/>
        </w:rPr>
        <w:t xml:space="preserve"> pharmacokinetics and pharmacodynamics and to identify and quantify covariate effects.</w:t>
      </w:r>
      <w:r w:rsidR="0063080C" w:rsidRPr="003266E1">
        <w:rPr>
          <w:rStyle w:val="FootnoteReference"/>
          <w:rFonts w:ascii="Myriad Pro" w:hAnsi="Myriad Pro"/>
          <w:b/>
          <w:color w:val="0000CC"/>
          <w:sz w:val="24"/>
          <w:szCs w:val="24"/>
        </w:rPr>
        <w:t xml:space="preserve"> </w:t>
      </w:r>
    </w:p>
    <w:p w14:paraId="07AC25FA" w14:textId="77777777" w:rsidR="003266E1" w:rsidRDefault="003266E1" w:rsidP="00F01AB0">
      <w:pPr>
        <w:shd w:val="clear" w:color="auto" w:fill="FFFFFF"/>
        <w:spacing w:after="0" w:line="255" w:lineRule="atLeast"/>
        <w:ind w:right="60"/>
        <w:outlineLvl w:val="3"/>
        <w:rPr>
          <w:rFonts w:ascii="Myriad Pro" w:eastAsia="Times New Roman" w:hAnsi="Myriad Pro" w:cs="Arial"/>
          <w:b/>
          <w:bCs/>
          <w:caps/>
          <w:color w:val="000000"/>
          <w:sz w:val="24"/>
          <w:szCs w:val="24"/>
        </w:rPr>
      </w:pPr>
    </w:p>
    <w:p w14:paraId="72398A36" w14:textId="77777777" w:rsidR="00156D35" w:rsidRPr="003266E1" w:rsidRDefault="00F36729" w:rsidP="003266E1">
      <w:pPr>
        <w:shd w:val="clear" w:color="auto" w:fill="FFFFFF"/>
        <w:spacing w:after="0" w:line="255" w:lineRule="atLeast"/>
        <w:ind w:right="60"/>
        <w:outlineLvl w:val="3"/>
        <w:rPr>
          <w:rFonts w:ascii="Myriad Pro" w:eastAsia="Times New Roman" w:hAnsi="Myriad Pro" w:cs="Arial"/>
          <w:b/>
          <w:bCs/>
          <w:caps/>
          <w:color w:val="000000"/>
          <w:sz w:val="24"/>
          <w:szCs w:val="24"/>
        </w:rPr>
      </w:pPr>
      <w:r w:rsidRPr="003266E1">
        <w:rPr>
          <w:rFonts w:ascii="Myriad Pro" w:eastAsia="Times New Roman" w:hAnsi="Myriad Pro" w:cs="Arial"/>
          <w:b/>
          <w:bCs/>
          <w:caps/>
          <w:color w:val="000000"/>
          <w:sz w:val="24"/>
          <w:szCs w:val="24"/>
        </w:rPr>
        <w:t>RESULT</w:t>
      </w:r>
      <w:r w:rsidR="00F01AB0" w:rsidRPr="003266E1">
        <w:rPr>
          <w:rFonts w:ascii="Myriad Pro" w:eastAsia="Times New Roman" w:hAnsi="Myriad Pro" w:cs="Arial"/>
          <w:b/>
          <w:bCs/>
          <w:caps/>
          <w:color w:val="000000"/>
          <w:sz w:val="24"/>
          <w:szCs w:val="24"/>
        </w:rPr>
        <w:t>:</w:t>
      </w:r>
      <w:r w:rsidR="003266E1">
        <w:rPr>
          <w:rFonts w:ascii="Myriad Pro" w:eastAsia="Times New Roman" w:hAnsi="Myriad Pro" w:cs="Arial"/>
          <w:b/>
          <w:bCs/>
          <w:caps/>
          <w:color w:val="000000"/>
          <w:sz w:val="24"/>
          <w:szCs w:val="24"/>
        </w:rPr>
        <w:t xml:space="preserve"> </w:t>
      </w:r>
      <w:proofErr w:type="spellStart"/>
      <w:r w:rsidR="00F01AB0" w:rsidRPr="003266E1">
        <w:rPr>
          <w:rFonts w:ascii="Myriad Pro" w:eastAsia="Times New Roman" w:hAnsi="Myriad Pro" w:cs="Arial"/>
          <w:color w:val="000000"/>
          <w:sz w:val="24"/>
          <w:szCs w:val="24"/>
        </w:rPr>
        <w:t>Sugammadex</w:t>
      </w:r>
      <w:proofErr w:type="spellEnd"/>
      <w:r w:rsidR="00F01AB0" w:rsidRPr="003266E1">
        <w:rPr>
          <w:rFonts w:ascii="Myriad Pro" w:eastAsia="Times New Roman" w:hAnsi="Myriad Pro" w:cs="Arial"/>
          <w:color w:val="000000"/>
          <w:sz w:val="24"/>
          <w:szCs w:val="24"/>
        </w:rPr>
        <w:t xml:space="preserve"> pharmacokinetics </w:t>
      </w:r>
      <w:proofErr w:type="gramStart"/>
      <w:r w:rsidR="00F01AB0" w:rsidRPr="003266E1">
        <w:rPr>
          <w:rFonts w:ascii="Myriad Pro" w:eastAsia="Times New Roman" w:hAnsi="Myriad Pro" w:cs="Arial"/>
          <w:color w:val="000000"/>
          <w:sz w:val="24"/>
          <w:szCs w:val="24"/>
        </w:rPr>
        <w:t>were</w:t>
      </w:r>
      <w:proofErr w:type="gramEnd"/>
      <w:r w:rsidR="00F01AB0" w:rsidRPr="003266E1">
        <w:rPr>
          <w:rFonts w:ascii="Myriad Pro" w:eastAsia="Times New Roman" w:hAnsi="Myriad Pro" w:cs="Arial"/>
          <w:color w:val="000000"/>
          <w:sz w:val="24"/>
          <w:szCs w:val="24"/>
        </w:rPr>
        <w:t xml:space="preserve"> </w:t>
      </w:r>
      <w:r w:rsidR="00D813A6" w:rsidRPr="003266E1">
        <w:rPr>
          <w:rFonts w:ascii="Myriad Pro" w:eastAsia="Times New Roman" w:hAnsi="Myriad Pro" w:cs="Arial"/>
          <w:color w:val="000000"/>
          <w:sz w:val="24"/>
          <w:szCs w:val="24"/>
        </w:rPr>
        <w:t xml:space="preserve">mainly </w:t>
      </w:r>
      <w:r w:rsidR="00F01AB0" w:rsidRPr="003266E1">
        <w:rPr>
          <w:rFonts w:ascii="Myriad Pro" w:eastAsia="Times New Roman" w:hAnsi="Myriad Pro" w:cs="Arial"/>
          <w:color w:val="000000"/>
          <w:sz w:val="24"/>
          <w:szCs w:val="24"/>
        </w:rPr>
        <w:t xml:space="preserve">affected by renal function. Simulated reversal times in typical adults were 0.8, 1.5 and 1.4 min upon </w:t>
      </w:r>
      <w:r w:rsidR="007B7B56" w:rsidRPr="003266E1">
        <w:rPr>
          <w:rFonts w:ascii="Myriad Pro" w:eastAsia="Times New Roman" w:hAnsi="Myriad Pro" w:cs="Arial"/>
          <w:color w:val="000000"/>
          <w:sz w:val="24"/>
          <w:szCs w:val="24"/>
        </w:rPr>
        <w:t>immediate reversal</w:t>
      </w:r>
      <w:r w:rsidR="007B7B56" w:rsidRPr="003266E1">
        <w:rPr>
          <w:rFonts w:ascii="Myriad Pro" w:eastAsia="Times New Roman" w:hAnsi="Myriad Pro" w:cs="Arial"/>
          <w:color w:val="000000"/>
          <w:sz w:val="24"/>
          <w:szCs w:val="24"/>
          <w:vertAlign w:val="superscript"/>
        </w:rPr>
        <w:t>1</w:t>
      </w:r>
      <w:r w:rsidR="00F01AB0" w:rsidRPr="003266E1">
        <w:rPr>
          <w:rFonts w:ascii="Myriad Pro" w:eastAsia="Times New Roman" w:hAnsi="Myriad Pro" w:cs="Arial"/>
          <w:color w:val="000000"/>
          <w:sz w:val="24"/>
          <w:szCs w:val="24"/>
        </w:rPr>
        <w:t xml:space="preserve">, </w:t>
      </w:r>
      <w:r w:rsidR="007B7B56" w:rsidRPr="003266E1">
        <w:rPr>
          <w:rFonts w:ascii="Myriad Pro" w:eastAsia="Times New Roman" w:hAnsi="Myriad Pro" w:cs="Arial"/>
          <w:color w:val="000000"/>
          <w:sz w:val="24"/>
          <w:szCs w:val="24"/>
        </w:rPr>
        <w:t>deep block reversal</w:t>
      </w:r>
      <w:r w:rsidR="007B7B56" w:rsidRPr="003266E1">
        <w:rPr>
          <w:rFonts w:ascii="Myriad Pro" w:eastAsia="Times New Roman" w:hAnsi="Myriad Pro" w:cs="Arial"/>
          <w:color w:val="000000"/>
          <w:sz w:val="24"/>
          <w:szCs w:val="24"/>
          <w:vertAlign w:val="superscript"/>
        </w:rPr>
        <w:t>2</w:t>
      </w:r>
      <w:r w:rsidR="00167994" w:rsidRPr="003266E1">
        <w:rPr>
          <w:rFonts w:ascii="Myriad Pro" w:eastAsia="Times New Roman" w:hAnsi="Myriad Pro" w:cs="Arial"/>
          <w:color w:val="000000"/>
          <w:sz w:val="24"/>
          <w:szCs w:val="24"/>
        </w:rPr>
        <w:t>,</w:t>
      </w:r>
      <w:r w:rsidR="0028783A" w:rsidRPr="003266E1">
        <w:rPr>
          <w:rFonts w:ascii="Myriad Pro" w:eastAsia="Times New Roman" w:hAnsi="Myriad Pro" w:cs="Arial"/>
          <w:color w:val="000000"/>
          <w:sz w:val="24"/>
          <w:szCs w:val="24"/>
        </w:rPr>
        <w:t xml:space="preserve"> and </w:t>
      </w:r>
      <w:r w:rsidR="007B7B56" w:rsidRPr="003266E1">
        <w:rPr>
          <w:rFonts w:ascii="Myriad Pro" w:eastAsia="Times New Roman" w:hAnsi="Myriad Pro" w:cs="Arial"/>
          <w:color w:val="000000"/>
          <w:sz w:val="24"/>
          <w:szCs w:val="24"/>
        </w:rPr>
        <w:t>moderate block reversal</w:t>
      </w:r>
      <w:r w:rsidR="007B7B56" w:rsidRPr="003266E1">
        <w:rPr>
          <w:rFonts w:ascii="Myriad Pro" w:eastAsia="Times New Roman" w:hAnsi="Myriad Pro" w:cs="Arial"/>
          <w:color w:val="000000"/>
          <w:sz w:val="24"/>
          <w:szCs w:val="24"/>
          <w:vertAlign w:val="superscript"/>
        </w:rPr>
        <w:t>3</w:t>
      </w:r>
      <w:r w:rsidR="00F01AB0" w:rsidRPr="003266E1">
        <w:rPr>
          <w:rFonts w:ascii="Myriad Pro" w:eastAsia="Times New Roman" w:hAnsi="Myriad Pro" w:cs="Arial"/>
          <w:color w:val="000000"/>
          <w:sz w:val="24"/>
          <w:szCs w:val="24"/>
        </w:rPr>
        <w:t>, respectively</w:t>
      </w:r>
      <w:r w:rsidR="006675A9" w:rsidRPr="003266E1">
        <w:rPr>
          <w:rFonts w:ascii="Myriad Pro" w:eastAsia="Times New Roman" w:hAnsi="Myriad Pro" w:cs="Arial"/>
          <w:color w:val="000000"/>
          <w:sz w:val="24"/>
          <w:szCs w:val="24"/>
        </w:rPr>
        <w:t>.</w:t>
      </w:r>
      <w:r w:rsidR="00F01AB0" w:rsidRPr="003266E1">
        <w:rPr>
          <w:rFonts w:ascii="Myriad Pro" w:eastAsia="Times New Roman" w:hAnsi="Myriad Pro" w:cs="Arial"/>
          <w:color w:val="000000"/>
          <w:sz w:val="24"/>
          <w:szCs w:val="24"/>
        </w:rPr>
        <w:t xml:space="preserve"> Simulations indicated that reversal </w:t>
      </w:r>
      <w:r w:rsidR="00DF2DB6" w:rsidRPr="003266E1">
        <w:rPr>
          <w:rFonts w:ascii="Myriad Pro" w:eastAsia="Times New Roman" w:hAnsi="Myriad Pro" w:cs="Arial"/>
          <w:color w:val="000000"/>
          <w:sz w:val="24"/>
          <w:szCs w:val="24"/>
        </w:rPr>
        <w:t>was</w:t>
      </w:r>
      <w:r w:rsidR="00F01AB0" w:rsidRPr="003266E1">
        <w:rPr>
          <w:rFonts w:ascii="Myriad Pro" w:eastAsia="Times New Roman" w:hAnsi="Myriad Pro" w:cs="Arial"/>
          <w:color w:val="000000"/>
          <w:sz w:val="24"/>
          <w:szCs w:val="24"/>
        </w:rPr>
        <w:t xml:space="preserve"> faster in </w:t>
      </w:r>
      <w:r w:rsidR="00C90B4B" w:rsidRPr="003266E1">
        <w:rPr>
          <w:rFonts w:ascii="Myriad Pro" w:eastAsia="Times New Roman" w:hAnsi="Myriad Pro" w:cs="Arial"/>
          <w:color w:val="000000"/>
          <w:sz w:val="24"/>
          <w:szCs w:val="24"/>
        </w:rPr>
        <w:t>pediatric</w:t>
      </w:r>
      <w:r w:rsidR="006675A9" w:rsidRPr="003266E1">
        <w:rPr>
          <w:rFonts w:ascii="Myriad Pro" w:eastAsia="Times New Roman" w:hAnsi="Myriad Pro" w:cs="Arial"/>
          <w:color w:val="000000"/>
          <w:sz w:val="24"/>
          <w:szCs w:val="24"/>
        </w:rPr>
        <w:t xml:space="preserve"> patients</w:t>
      </w:r>
      <w:r w:rsidR="00F01AB0" w:rsidRPr="003266E1">
        <w:rPr>
          <w:rFonts w:ascii="Myriad Pro" w:eastAsia="Times New Roman" w:hAnsi="Myriad Pro" w:cs="Arial"/>
          <w:color w:val="000000"/>
          <w:sz w:val="24"/>
          <w:szCs w:val="24"/>
        </w:rPr>
        <w:t xml:space="preserve"> and slightly slower in elderly </w:t>
      </w:r>
      <w:r w:rsidR="00167994" w:rsidRPr="003266E1">
        <w:rPr>
          <w:rFonts w:ascii="Myriad Pro" w:eastAsia="Times New Roman" w:hAnsi="Myriad Pro" w:cs="Arial"/>
          <w:color w:val="000000"/>
          <w:sz w:val="24"/>
          <w:szCs w:val="24"/>
        </w:rPr>
        <w:t xml:space="preserve">patients </w:t>
      </w:r>
      <w:r w:rsidR="00F01AB0" w:rsidRPr="003266E1">
        <w:rPr>
          <w:rFonts w:ascii="Myriad Pro" w:eastAsia="Times New Roman" w:hAnsi="Myriad Pro" w:cs="Arial"/>
          <w:color w:val="000000"/>
          <w:sz w:val="24"/>
          <w:szCs w:val="24"/>
        </w:rPr>
        <w:t xml:space="preserve">compared with adults. </w:t>
      </w:r>
      <w:r w:rsidR="00C90B4B" w:rsidRPr="003266E1">
        <w:rPr>
          <w:rFonts w:ascii="Myriad Pro" w:eastAsia="Times New Roman" w:hAnsi="Myriad Pro" w:cs="Arial"/>
          <w:color w:val="000000"/>
          <w:sz w:val="24"/>
          <w:szCs w:val="24"/>
        </w:rPr>
        <w:t>R</w:t>
      </w:r>
      <w:r w:rsidR="00F01AB0" w:rsidRPr="003266E1">
        <w:rPr>
          <w:rFonts w:ascii="Myriad Pro" w:eastAsia="Times New Roman" w:hAnsi="Myriad Pro" w:cs="Arial"/>
          <w:color w:val="000000"/>
          <w:sz w:val="24"/>
          <w:szCs w:val="24"/>
        </w:rPr>
        <w:t>enal function</w:t>
      </w:r>
      <w:r w:rsidR="00410A14" w:rsidRPr="003266E1">
        <w:rPr>
          <w:rFonts w:ascii="Myriad Pro" w:eastAsia="Times New Roman" w:hAnsi="Myriad Pro" w:cs="Arial"/>
          <w:color w:val="000000"/>
          <w:sz w:val="24"/>
          <w:szCs w:val="24"/>
        </w:rPr>
        <w:t xml:space="preserve"> was predicted to</w:t>
      </w:r>
      <w:r w:rsidR="00F01AB0" w:rsidRPr="003266E1">
        <w:rPr>
          <w:rFonts w:ascii="Myriad Pro" w:eastAsia="Times New Roman" w:hAnsi="Myriad Pro" w:cs="Arial"/>
          <w:color w:val="000000"/>
          <w:sz w:val="24"/>
          <w:szCs w:val="24"/>
        </w:rPr>
        <w:t xml:space="preserve"> not affect reversal time</w:t>
      </w:r>
      <w:r w:rsidR="00D813A6" w:rsidRPr="003266E1">
        <w:rPr>
          <w:rFonts w:ascii="Myriad Pro" w:eastAsia="Times New Roman" w:hAnsi="Myriad Pro" w:cs="Arial"/>
          <w:color w:val="000000"/>
          <w:sz w:val="24"/>
          <w:szCs w:val="24"/>
        </w:rPr>
        <w:t xml:space="preserve">, but to substantially affect clearance of </w:t>
      </w:r>
      <w:proofErr w:type="spellStart"/>
      <w:r w:rsidR="00D813A6" w:rsidRPr="003266E1">
        <w:rPr>
          <w:rFonts w:ascii="Myriad Pro" w:eastAsia="Times New Roman" w:hAnsi="Myriad Pro" w:cs="Arial"/>
          <w:color w:val="000000"/>
          <w:sz w:val="24"/>
          <w:szCs w:val="24"/>
        </w:rPr>
        <w:t>sugammadex</w:t>
      </w:r>
      <w:proofErr w:type="spellEnd"/>
      <w:r w:rsidR="00D813A6" w:rsidRPr="003266E1">
        <w:rPr>
          <w:rFonts w:ascii="Myriad Pro" w:eastAsia="Times New Roman" w:hAnsi="Myriad Pro" w:cs="Arial"/>
          <w:color w:val="000000"/>
          <w:sz w:val="24"/>
          <w:szCs w:val="24"/>
        </w:rPr>
        <w:t xml:space="preserve"> and the </w:t>
      </w:r>
      <w:proofErr w:type="spellStart"/>
      <w:r w:rsidR="007B7B56" w:rsidRPr="003266E1">
        <w:rPr>
          <w:rFonts w:ascii="Myriad Pro" w:eastAsia="Times New Roman" w:hAnsi="Myriad Pro" w:cs="Arial"/>
          <w:color w:val="000000"/>
          <w:sz w:val="24"/>
          <w:szCs w:val="24"/>
        </w:rPr>
        <w:t>sugammadex-rocuronium</w:t>
      </w:r>
      <w:proofErr w:type="spellEnd"/>
      <w:r w:rsidR="007B7B56" w:rsidRPr="003266E1">
        <w:rPr>
          <w:rFonts w:ascii="Myriad Pro" w:eastAsia="Times New Roman" w:hAnsi="Myriad Pro" w:cs="Arial"/>
          <w:color w:val="000000"/>
          <w:sz w:val="24"/>
          <w:szCs w:val="24"/>
        </w:rPr>
        <w:t xml:space="preserve"> </w:t>
      </w:r>
      <w:r w:rsidR="00D813A6" w:rsidRPr="003266E1">
        <w:rPr>
          <w:rFonts w:ascii="Myriad Pro" w:eastAsia="Times New Roman" w:hAnsi="Myriad Pro" w:cs="Arial"/>
          <w:color w:val="000000"/>
          <w:sz w:val="24"/>
          <w:szCs w:val="24"/>
        </w:rPr>
        <w:t>complex</w:t>
      </w:r>
      <w:r w:rsidR="00F01AB0" w:rsidRPr="003266E1">
        <w:rPr>
          <w:rFonts w:ascii="Myriad Pro" w:eastAsia="Times New Roman" w:hAnsi="Myriad Pro" w:cs="Arial"/>
          <w:color w:val="000000"/>
          <w:sz w:val="24"/>
          <w:szCs w:val="24"/>
        </w:rPr>
        <w:t>.</w:t>
      </w:r>
      <w:r w:rsidR="007D7C6B" w:rsidRPr="003266E1">
        <w:rPr>
          <w:rFonts w:ascii="Myriad Pro" w:eastAsia="Times New Roman" w:hAnsi="Myriad Pro" w:cs="Arial"/>
          <w:color w:val="000000"/>
          <w:sz w:val="24"/>
          <w:szCs w:val="24"/>
        </w:rPr>
        <w:t xml:space="preserve"> </w:t>
      </w:r>
      <w:proofErr w:type="gramStart"/>
      <w:r w:rsidR="00156D35" w:rsidRPr="003266E1">
        <w:rPr>
          <w:rFonts w:ascii="Myriad Pro" w:eastAsia="Times New Roman" w:hAnsi="Myriad Pro" w:cs="Arial"/>
          <w:color w:val="000000"/>
          <w:sz w:val="24"/>
          <w:szCs w:val="24"/>
        </w:rPr>
        <w:t>A dose of 1.2 mg.kg</w:t>
      </w:r>
      <w:r w:rsidR="00156D35" w:rsidRPr="003266E1">
        <w:rPr>
          <w:rFonts w:ascii="Myriad Pro" w:eastAsia="Times New Roman" w:hAnsi="Myriad Pro" w:cs="Arial"/>
          <w:color w:val="000000"/>
          <w:sz w:val="24"/>
          <w:szCs w:val="24"/>
          <w:vertAlign w:val="superscript"/>
        </w:rPr>
        <w:t>-1</w:t>
      </w:r>
      <w:r w:rsidR="00156D35" w:rsidRPr="003266E1">
        <w:rPr>
          <w:rFonts w:ascii="Myriad Pro" w:eastAsia="Times New Roman" w:hAnsi="Myriad Pro" w:cs="Arial"/>
          <w:color w:val="000000"/>
          <w:sz w:val="24"/>
          <w:szCs w:val="24"/>
        </w:rPr>
        <w:t xml:space="preserve"> </w:t>
      </w:r>
      <w:proofErr w:type="spellStart"/>
      <w:r w:rsidR="00B63D9F" w:rsidRPr="003266E1">
        <w:rPr>
          <w:rFonts w:ascii="Myriad Pro" w:eastAsia="Times New Roman" w:hAnsi="Myriad Pro" w:cs="Arial"/>
          <w:color w:val="000000"/>
          <w:sz w:val="24"/>
          <w:szCs w:val="24"/>
        </w:rPr>
        <w:t>rocuronium</w:t>
      </w:r>
      <w:proofErr w:type="spellEnd"/>
      <w:r w:rsidR="00B63D9F" w:rsidRPr="003266E1">
        <w:rPr>
          <w:rFonts w:ascii="Myriad Pro" w:eastAsia="Times New Roman" w:hAnsi="Myriad Pro" w:cs="Arial"/>
          <w:color w:val="000000"/>
          <w:sz w:val="24"/>
          <w:szCs w:val="24"/>
        </w:rPr>
        <w:t xml:space="preserve"> for re-use</w:t>
      </w:r>
      <w:proofErr w:type="gramEnd"/>
      <w:r w:rsidR="00B63D9F" w:rsidRPr="003266E1">
        <w:rPr>
          <w:rFonts w:ascii="Myriad Pro" w:eastAsia="Times New Roman" w:hAnsi="Myriad Pro" w:cs="Arial"/>
          <w:color w:val="000000"/>
          <w:sz w:val="24"/>
          <w:szCs w:val="24"/>
        </w:rPr>
        <w:t xml:space="preserve"> </w:t>
      </w:r>
      <w:r w:rsidR="00410A14" w:rsidRPr="003266E1">
        <w:rPr>
          <w:rFonts w:ascii="Myriad Pro" w:eastAsia="Times New Roman" w:hAnsi="Myriad Pro" w:cs="Arial"/>
          <w:color w:val="000000"/>
          <w:sz w:val="24"/>
          <w:szCs w:val="24"/>
        </w:rPr>
        <w:t xml:space="preserve">after </w:t>
      </w:r>
      <w:r w:rsidR="006B64EB" w:rsidRPr="003266E1">
        <w:rPr>
          <w:rFonts w:ascii="Myriad Pro" w:eastAsia="Times New Roman" w:hAnsi="Myriad Pro" w:cs="Arial"/>
          <w:color w:val="000000"/>
          <w:sz w:val="24"/>
          <w:szCs w:val="24"/>
        </w:rPr>
        <w:t>moderate</w:t>
      </w:r>
      <w:r w:rsidR="00410A14" w:rsidRPr="003266E1">
        <w:rPr>
          <w:rFonts w:ascii="Myriad Pro" w:eastAsia="Times New Roman" w:hAnsi="Myriad Pro" w:cs="Arial"/>
          <w:color w:val="000000"/>
          <w:sz w:val="24"/>
          <w:szCs w:val="24"/>
        </w:rPr>
        <w:t xml:space="preserve"> block and deep block reversal </w:t>
      </w:r>
      <w:r w:rsidR="00C90B4B" w:rsidRPr="003266E1">
        <w:rPr>
          <w:rFonts w:ascii="Myriad Pro" w:eastAsia="Times New Roman" w:hAnsi="Myriad Pro" w:cs="Arial"/>
          <w:color w:val="000000"/>
          <w:sz w:val="24"/>
          <w:szCs w:val="24"/>
        </w:rPr>
        <w:t>was equipotent</w:t>
      </w:r>
      <w:r w:rsidR="00156D35" w:rsidRPr="003266E1">
        <w:rPr>
          <w:rFonts w:ascii="Myriad Pro" w:eastAsia="Times New Roman" w:hAnsi="Myriad Pro" w:cs="Arial"/>
          <w:color w:val="000000"/>
          <w:sz w:val="24"/>
          <w:szCs w:val="24"/>
        </w:rPr>
        <w:t xml:space="preserve"> compared to the initial intubation dose, at all simulated re-use times (range 5 to 480 min)</w:t>
      </w:r>
      <w:r w:rsidR="00D67943" w:rsidRPr="003266E1">
        <w:rPr>
          <w:rFonts w:ascii="Myriad Pro" w:eastAsia="Times New Roman" w:hAnsi="Myriad Pro" w:cs="Arial"/>
          <w:color w:val="000000"/>
          <w:sz w:val="24"/>
          <w:szCs w:val="24"/>
        </w:rPr>
        <w:t xml:space="preserve"> for all evaluated populations</w:t>
      </w:r>
      <w:r w:rsidR="00156D35" w:rsidRPr="003266E1">
        <w:rPr>
          <w:rFonts w:ascii="Myriad Pro" w:eastAsia="Times New Roman" w:hAnsi="Myriad Pro" w:cs="Arial"/>
          <w:color w:val="000000"/>
          <w:sz w:val="24"/>
          <w:szCs w:val="24"/>
        </w:rPr>
        <w:t>.</w:t>
      </w:r>
    </w:p>
    <w:p w14:paraId="247821C5" w14:textId="77777777" w:rsidR="00F01AB0" w:rsidRPr="003266E1" w:rsidRDefault="00F36729" w:rsidP="003266E1">
      <w:pPr>
        <w:shd w:val="clear" w:color="auto" w:fill="FFFFFF"/>
        <w:spacing w:after="0" w:line="255" w:lineRule="atLeast"/>
        <w:ind w:right="60"/>
        <w:outlineLvl w:val="3"/>
        <w:rPr>
          <w:rFonts w:ascii="Myriad Pro" w:eastAsia="Times New Roman" w:hAnsi="Myriad Pro" w:cs="Arial"/>
          <w:b/>
          <w:bCs/>
          <w:caps/>
          <w:color w:val="000000"/>
          <w:sz w:val="24"/>
          <w:szCs w:val="24"/>
        </w:rPr>
      </w:pPr>
      <w:r w:rsidRPr="003266E1">
        <w:rPr>
          <w:rFonts w:ascii="Myriad Pro" w:eastAsia="Times New Roman" w:hAnsi="Myriad Pro" w:cs="Arial"/>
          <w:b/>
          <w:bCs/>
          <w:caps/>
          <w:color w:val="000000"/>
          <w:sz w:val="24"/>
          <w:szCs w:val="24"/>
        </w:rPr>
        <w:t>CONCLUSION</w:t>
      </w:r>
      <w:r w:rsidR="00F01AB0" w:rsidRPr="003266E1">
        <w:rPr>
          <w:rFonts w:ascii="Myriad Pro" w:eastAsia="Times New Roman" w:hAnsi="Myriad Pro" w:cs="Arial"/>
          <w:b/>
          <w:bCs/>
          <w:caps/>
          <w:color w:val="000000"/>
          <w:sz w:val="24"/>
          <w:szCs w:val="24"/>
        </w:rPr>
        <w:t>:</w:t>
      </w:r>
      <w:r w:rsidR="003266E1">
        <w:rPr>
          <w:rFonts w:ascii="Myriad Pro" w:eastAsia="Times New Roman" w:hAnsi="Myriad Pro" w:cs="Arial"/>
          <w:b/>
          <w:bCs/>
          <w:caps/>
          <w:color w:val="000000"/>
          <w:sz w:val="24"/>
          <w:szCs w:val="24"/>
        </w:rPr>
        <w:t xml:space="preserve"> </w:t>
      </w:r>
      <w:r w:rsidR="00B61420" w:rsidRPr="003266E1">
        <w:rPr>
          <w:rFonts w:ascii="Myriad Pro" w:eastAsia="Times New Roman" w:hAnsi="Myriad Pro" w:cs="Arial"/>
          <w:color w:val="000000"/>
          <w:sz w:val="24"/>
          <w:szCs w:val="24"/>
        </w:rPr>
        <w:t xml:space="preserve">The PK-PD model provided accurate predictions of </w:t>
      </w:r>
      <w:proofErr w:type="spellStart"/>
      <w:r w:rsidR="00B61420" w:rsidRPr="003266E1">
        <w:rPr>
          <w:rFonts w:ascii="Myriad Pro" w:eastAsia="Times New Roman" w:hAnsi="Myriad Pro" w:cs="Arial"/>
          <w:color w:val="000000"/>
          <w:sz w:val="24"/>
          <w:szCs w:val="24"/>
        </w:rPr>
        <w:t>sugammadex</w:t>
      </w:r>
      <w:proofErr w:type="spellEnd"/>
      <w:r w:rsidR="00B61420" w:rsidRPr="003266E1">
        <w:rPr>
          <w:rFonts w:ascii="Myriad Pro" w:eastAsia="Times New Roman" w:hAnsi="Myriad Pro" w:cs="Arial"/>
          <w:color w:val="000000"/>
          <w:sz w:val="24"/>
          <w:szCs w:val="24"/>
        </w:rPr>
        <w:t xml:space="preserve"> reversal times in various patient populations with predicted reversal time in typical patients always &lt;2</w:t>
      </w:r>
      <w:r w:rsidR="00B63D9F" w:rsidRPr="003266E1">
        <w:rPr>
          <w:rFonts w:ascii="Myriad Pro" w:eastAsia="Times New Roman" w:hAnsi="Myriad Pro" w:cs="Arial"/>
          <w:color w:val="000000"/>
          <w:sz w:val="24"/>
          <w:szCs w:val="24"/>
        </w:rPr>
        <w:t xml:space="preserve"> min</w:t>
      </w:r>
      <w:r w:rsidR="00B61420" w:rsidRPr="003266E1">
        <w:rPr>
          <w:rFonts w:ascii="Myriad Pro" w:eastAsia="Times New Roman" w:hAnsi="Myriad Pro" w:cs="Arial"/>
          <w:color w:val="000000"/>
          <w:sz w:val="24"/>
          <w:szCs w:val="24"/>
        </w:rPr>
        <w:t xml:space="preserve">. </w:t>
      </w:r>
      <w:r w:rsidR="00C90B4B" w:rsidRPr="003266E1">
        <w:rPr>
          <w:rFonts w:ascii="Myriad Pro" w:eastAsia="Times New Roman" w:hAnsi="Myriad Pro" w:cs="Arial"/>
          <w:color w:val="000000"/>
          <w:sz w:val="24"/>
          <w:szCs w:val="24"/>
        </w:rPr>
        <w:t xml:space="preserve">NMB can effectively be re-established after </w:t>
      </w:r>
      <w:proofErr w:type="spellStart"/>
      <w:r w:rsidR="00C90B4B" w:rsidRPr="003266E1">
        <w:rPr>
          <w:rFonts w:ascii="Myriad Pro" w:eastAsia="Times New Roman" w:hAnsi="Myriad Pro" w:cs="Arial"/>
          <w:color w:val="000000"/>
          <w:sz w:val="24"/>
          <w:szCs w:val="24"/>
        </w:rPr>
        <w:t>sugammadex</w:t>
      </w:r>
      <w:proofErr w:type="spellEnd"/>
      <w:r w:rsidR="00C90B4B" w:rsidRPr="003266E1">
        <w:rPr>
          <w:rFonts w:ascii="Myriad Pro" w:eastAsia="Times New Roman" w:hAnsi="Myriad Pro" w:cs="Arial"/>
          <w:color w:val="000000"/>
          <w:sz w:val="24"/>
          <w:szCs w:val="24"/>
        </w:rPr>
        <w:t xml:space="preserve"> </w:t>
      </w:r>
      <w:r w:rsidR="006B64EB" w:rsidRPr="003266E1">
        <w:rPr>
          <w:rFonts w:ascii="Myriad Pro" w:eastAsia="Times New Roman" w:hAnsi="Myriad Pro" w:cs="Arial"/>
          <w:color w:val="000000"/>
          <w:sz w:val="24"/>
          <w:szCs w:val="24"/>
        </w:rPr>
        <w:t>moderate</w:t>
      </w:r>
      <w:r w:rsidR="004116B8" w:rsidRPr="003266E1">
        <w:rPr>
          <w:rFonts w:ascii="Myriad Pro" w:eastAsia="Times New Roman" w:hAnsi="Myriad Pro" w:cs="Arial"/>
          <w:color w:val="000000"/>
          <w:sz w:val="24"/>
          <w:szCs w:val="24"/>
        </w:rPr>
        <w:t xml:space="preserve"> and deep block reversal</w:t>
      </w:r>
      <w:r w:rsidR="009C6ECA" w:rsidRPr="003266E1">
        <w:rPr>
          <w:rFonts w:ascii="Myriad Pro" w:eastAsia="Times New Roman" w:hAnsi="Myriad Pro" w:cs="Arial"/>
          <w:color w:val="000000"/>
          <w:sz w:val="24"/>
          <w:szCs w:val="24"/>
        </w:rPr>
        <w:t>.</w:t>
      </w:r>
      <w:r w:rsidR="00C90B4B" w:rsidRPr="003266E1">
        <w:rPr>
          <w:rFonts w:ascii="Myriad Pro" w:eastAsia="Times New Roman" w:hAnsi="Myriad Pro" w:cs="Arial"/>
          <w:color w:val="000000"/>
          <w:sz w:val="24"/>
          <w:szCs w:val="24"/>
        </w:rPr>
        <w:t xml:space="preserve"> </w:t>
      </w:r>
    </w:p>
    <w:p w14:paraId="2FB448A0" w14:textId="77777777" w:rsidR="007B7B56" w:rsidRPr="003266E1" w:rsidRDefault="007B7B56" w:rsidP="00F01AB0">
      <w:pPr>
        <w:shd w:val="clear" w:color="auto" w:fill="FFFFFF"/>
        <w:spacing w:after="120" w:line="255" w:lineRule="atLeast"/>
        <w:rPr>
          <w:rFonts w:ascii="Myriad Pro" w:eastAsia="Times New Roman" w:hAnsi="Myriad Pro" w:cs="Arial"/>
          <w:color w:val="000000"/>
          <w:sz w:val="24"/>
          <w:szCs w:val="24"/>
        </w:rPr>
      </w:pPr>
    </w:p>
    <w:p w14:paraId="3252F599" w14:textId="77777777" w:rsidR="007B7B56" w:rsidRPr="003266E1" w:rsidRDefault="007B7B56" w:rsidP="00F01AB0">
      <w:pPr>
        <w:shd w:val="clear" w:color="auto" w:fill="FFFFFF"/>
        <w:spacing w:after="120" w:line="255" w:lineRule="atLeast"/>
        <w:rPr>
          <w:rFonts w:ascii="Myriad Pro" w:eastAsia="Times New Roman" w:hAnsi="Myriad Pro" w:cs="Arial"/>
          <w:color w:val="000000"/>
          <w:sz w:val="24"/>
          <w:szCs w:val="24"/>
        </w:rPr>
      </w:pPr>
      <w:r w:rsidRPr="003266E1">
        <w:rPr>
          <w:rFonts w:ascii="Myriad Pro" w:eastAsia="Times New Roman" w:hAnsi="Myriad Pro" w:cs="Arial"/>
          <w:color w:val="000000"/>
          <w:sz w:val="24"/>
          <w:szCs w:val="24"/>
        </w:rPr>
        <w:t xml:space="preserve">(1) Immediate reversal defined as 16 mg.kg-1 </w:t>
      </w:r>
      <w:proofErr w:type="spellStart"/>
      <w:r w:rsidRPr="003266E1">
        <w:rPr>
          <w:rFonts w:ascii="Myriad Pro" w:eastAsia="Times New Roman" w:hAnsi="Myriad Pro" w:cs="Arial"/>
          <w:color w:val="000000"/>
          <w:sz w:val="24"/>
          <w:szCs w:val="24"/>
        </w:rPr>
        <w:t>sugammadex</w:t>
      </w:r>
      <w:proofErr w:type="spellEnd"/>
      <w:r w:rsidRPr="003266E1">
        <w:rPr>
          <w:rFonts w:ascii="Myriad Pro" w:eastAsia="Times New Roman" w:hAnsi="Myriad Pro" w:cs="Arial"/>
          <w:color w:val="000000"/>
          <w:sz w:val="24"/>
          <w:szCs w:val="24"/>
        </w:rPr>
        <w:t xml:space="preserve"> at 3 minutes after 1.2 mg.kg-1 </w:t>
      </w:r>
      <w:proofErr w:type="spellStart"/>
      <w:r w:rsidRPr="003266E1">
        <w:rPr>
          <w:rFonts w:ascii="Myriad Pro" w:eastAsia="Times New Roman" w:hAnsi="Myriad Pro" w:cs="Arial"/>
          <w:color w:val="000000"/>
          <w:sz w:val="24"/>
          <w:szCs w:val="24"/>
        </w:rPr>
        <w:t>rocuronium</w:t>
      </w:r>
      <w:proofErr w:type="spellEnd"/>
    </w:p>
    <w:p w14:paraId="33A4AF65" w14:textId="77777777" w:rsidR="007B7B56" w:rsidRPr="003266E1" w:rsidRDefault="007B7B56" w:rsidP="007B7B56">
      <w:pPr>
        <w:shd w:val="clear" w:color="auto" w:fill="FFFFFF"/>
        <w:spacing w:after="120" w:line="255" w:lineRule="atLeast"/>
        <w:rPr>
          <w:rFonts w:ascii="Myriad Pro" w:eastAsia="Times New Roman" w:hAnsi="Myriad Pro" w:cs="Arial"/>
          <w:color w:val="000000"/>
          <w:sz w:val="24"/>
          <w:szCs w:val="24"/>
        </w:rPr>
      </w:pPr>
      <w:r w:rsidRPr="003266E1">
        <w:rPr>
          <w:rFonts w:ascii="Myriad Pro" w:eastAsia="Times New Roman" w:hAnsi="Myriad Pro" w:cs="Arial"/>
          <w:color w:val="000000"/>
          <w:sz w:val="24"/>
          <w:szCs w:val="24"/>
        </w:rPr>
        <w:t xml:space="preserve">(2) Deep block reversal defined as 4 mg.kg-1 </w:t>
      </w:r>
      <w:proofErr w:type="spellStart"/>
      <w:r w:rsidRPr="003266E1">
        <w:rPr>
          <w:rFonts w:ascii="Myriad Pro" w:eastAsia="Times New Roman" w:hAnsi="Myriad Pro" w:cs="Arial"/>
          <w:color w:val="000000"/>
          <w:sz w:val="24"/>
          <w:szCs w:val="24"/>
        </w:rPr>
        <w:t>sugammadex</w:t>
      </w:r>
      <w:proofErr w:type="spellEnd"/>
      <w:r w:rsidRPr="003266E1">
        <w:rPr>
          <w:rFonts w:ascii="Myriad Pro" w:eastAsia="Times New Roman" w:hAnsi="Myriad Pro" w:cs="Arial"/>
          <w:color w:val="000000"/>
          <w:sz w:val="24"/>
          <w:szCs w:val="24"/>
        </w:rPr>
        <w:t xml:space="preserve"> at </w:t>
      </w:r>
      <w:r w:rsidR="00370BDC" w:rsidRPr="003266E1">
        <w:rPr>
          <w:rFonts w:ascii="Myriad Pro" w:eastAsia="Times New Roman" w:hAnsi="Myriad Pro" w:cs="Arial"/>
          <w:color w:val="000000"/>
          <w:sz w:val="24"/>
          <w:szCs w:val="24"/>
        </w:rPr>
        <w:t>1-2 PTCs</w:t>
      </w:r>
    </w:p>
    <w:p w14:paraId="4FE9941A" w14:textId="77777777" w:rsidR="007B7B56" w:rsidRPr="003266E1" w:rsidRDefault="007B7B56" w:rsidP="007B7B56">
      <w:pPr>
        <w:shd w:val="clear" w:color="auto" w:fill="FFFFFF"/>
        <w:spacing w:after="120" w:line="255" w:lineRule="atLeast"/>
        <w:rPr>
          <w:rFonts w:ascii="Myriad Pro" w:eastAsia="Times New Roman" w:hAnsi="Myriad Pro" w:cs="Arial"/>
          <w:color w:val="000000"/>
          <w:sz w:val="24"/>
          <w:szCs w:val="24"/>
        </w:rPr>
      </w:pPr>
      <w:r w:rsidRPr="003266E1">
        <w:rPr>
          <w:rFonts w:ascii="Myriad Pro" w:eastAsia="Times New Roman" w:hAnsi="Myriad Pro" w:cs="Arial"/>
          <w:color w:val="000000"/>
          <w:sz w:val="24"/>
          <w:szCs w:val="24"/>
        </w:rPr>
        <w:t xml:space="preserve">(3) Moderate block reversal defined as 2 mg.kg-1 </w:t>
      </w:r>
      <w:proofErr w:type="spellStart"/>
      <w:r w:rsidRPr="003266E1">
        <w:rPr>
          <w:rFonts w:ascii="Myriad Pro" w:eastAsia="Times New Roman" w:hAnsi="Myriad Pro" w:cs="Arial"/>
          <w:color w:val="000000"/>
          <w:sz w:val="24"/>
          <w:szCs w:val="24"/>
        </w:rPr>
        <w:t>sugammadex</w:t>
      </w:r>
      <w:proofErr w:type="spellEnd"/>
      <w:r w:rsidRPr="003266E1">
        <w:rPr>
          <w:rFonts w:ascii="Myriad Pro" w:eastAsia="Times New Roman" w:hAnsi="Myriad Pro" w:cs="Arial"/>
          <w:color w:val="000000"/>
          <w:sz w:val="24"/>
          <w:szCs w:val="24"/>
        </w:rPr>
        <w:t xml:space="preserve"> at reappearance of T2</w:t>
      </w:r>
    </w:p>
    <w:p w14:paraId="4EE37E30" w14:textId="77777777" w:rsidR="0028783A" w:rsidRPr="003266E1" w:rsidRDefault="0028783A">
      <w:pPr>
        <w:rPr>
          <w:rFonts w:ascii="Myriad Pro" w:hAnsi="Myriad Pro"/>
          <w:sz w:val="24"/>
          <w:szCs w:val="24"/>
        </w:rPr>
      </w:pPr>
    </w:p>
    <w:p w14:paraId="086CE1FD" w14:textId="77777777" w:rsidR="003A6909" w:rsidRPr="003266E1" w:rsidRDefault="0028783A" w:rsidP="0028783A">
      <w:pPr>
        <w:rPr>
          <w:rFonts w:ascii="Myriad Pro" w:hAnsi="Myriad Pro"/>
          <w:sz w:val="24"/>
          <w:szCs w:val="24"/>
        </w:rPr>
      </w:pPr>
      <w:r w:rsidRPr="003266E1">
        <w:rPr>
          <w:rFonts w:ascii="Myriad Pro" w:hAnsi="Myriad Pro"/>
          <w:sz w:val="24"/>
          <w:szCs w:val="24"/>
        </w:rPr>
        <w:br w:type="page"/>
      </w:r>
      <w:bookmarkStart w:id="0" w:name="_GoBack"/>
      <w:bookmarkEnd w:id="0"/>
      <w:r w:rsidRPr="003266E1">
        <w:rPr>
          <w:rFonts w:ascii="Myriad Pro" w:hAnsi="Myriad Pro"/>
          <w:sz w:val="24"/>
          <w:szCs w:val="24"/>
        </w:rPr>
        <w:lastRenderedPageBreak/>
        <w:t xml:space="preserve">Figure Schematic overview of the PK-PD interaction model of </w:t>
      </w:r>
      <w:proofErr w:type="spellStart"/>
      <w:r w:rsidRPr="003266E1">
        <w:rPr>
          <w:rFonts w:ascii="Myriad Pro" w:hAnsi="Myriad Pro"/>
          <w:sz w:val="24"/>
          <w:szCs w:val="24"/>
        </w:rPr>
        <w:t>rocuronium</w:t>
      </w:r>
      <w:proofErr w:type="spellEnd"/>
      <w:r w:rsidRPr="003266E1">
        <w:rPr>
          <w:rFonts w:ascii="Myriad Pro" w:hAnsi="Myriad Pro"/>
          <w:sz w:val="24"/>
          <w:szCs w:val="24"/>
        </w:rPr>
        <w:t xml:space="preserve"> and</w:t>
      </w:r>
      <w:r w:rsidR="005F376D" w:rsidRPr="003266E1">
        <w:rPr>
          <w:rFonts w:ascii="Myriad Pro" w:hAnsi="Myriad Pro"/>
          <w:sz w:val="24"/>
          <w:szCs w:val="24"/>
        </w:rPr>
        <w:t xml:space="preserve"> </w:t>
      </w:r>
      <w:proofErr w:type="spellStart"/>
      <w:r w:rsidRPr="003266E1">
        <w:rPr>
          <w:rFonts w:ascii="Myriad Pro" w:hAnsi="Myriad Pro"/>
          <w:sz w:val="24"/>
          <w:szCs w:val="24"/>
        </w:rPr>
        <w:t>sugammadex</w:t>
      </w:r>
      <w:proofErr w:type="spellEnd"/>
    </w:p>
    <w:p w14:paraId="542665A0" w14:textId="77777777" w:rsidR="006E5673" w:rsidRPr="003266E1" w:rsidRDefault="006E5673" w:rsidP="0028783A">
      <w:pPr>
        <w:rPr>
          <w:rFonts w:ascii="Myriad Pro" w:hAnsi="Myriad Pro"/>
          <w:sz w:val="24"/>
          <w:szCs w:val="24"/>
        </w:rPr>
      </w:pPr>
      <w:r w:rsidRPr="003266E1">
        <w:rPr>
          <w:rFonts w:ascii="Myriad Pro" w:hAnsi="Myriad Pro"/>
          <w:noProof/>
          <w:sz w:val="24"/>
          <w:szCs w:val="24"/>
        </w:rPr>
        <w:drawing>
          <wp:inline distT="0" distB="0" distL="0" distR="0" wp14:anchorId="03DA55F4" wp14:editId="6A201FDE">
            <wp:extent cx="5943600" cy="32264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2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5863C" w14:textId="77777777" w:rsidR="006E5673" w:rsidRPr="003266E1" w:rsidRDefault="006E5673" w:rsidP="006E5673">
      <w:pPr>
        <w:autoSpaceDE w:val="0"/>
        <w:autoSpaceDN w:val="0"/>
        <w:adjustRightInd w:val="0"/>
        <w:spacing w:after="0" w:line="240" w:lineRule="auto"/>
        <w:rPr>
          <w:rFonts w:ascii="Myriad Pro" w:hAnsi="Myriad Pro" w:cs="Arial"/>
          <w:sz w:val="24"/>
          <w:szCs w:val="24"/>
        </w:rPr>
      </w:pPr>
      <w:proofErr w:type="spellStart"/>
      <w:r w:rsidRPr="003266E1">
        <w:rPr>
          <w:rFonts w:ascii="Myriad Pro" w:hAnsi="Myriad Pro" w:cs="Arial"/>
          <w:sz w:val="24"/>
          <w:szCs w:val="24"/>
        </w:rPr>
        <w:t>CLr</w:t>
      </w:r>
      <w:proofErr w:type="spellEnd"/>
      <w:r w:rsidRPr="003266E1">
        <w:rPr>
          <w:rFonts w:ascii="Myriad Pro" w:hAnsi="Myriad Pro" w:cs="Arial"/>
          <w:sz w:val="24"/>
          <w:szCs w:val="24"/>
        </w:rPr>
        <w:t xml:space="preserve">, </w:t>
      </w:r>
      <w:proofErr w:type="spellStart"/>
      <w:r w:rsidRPr="003266E1">
        <w:rPr>
          <w:rFonts w:ascii="Myriad Pro" w:hAnsi="Myriad Pro" w:cs="Arial"/>
          <w:sz w:val="24"/>
          <w:szCs w:val="24"/>
        </w:rPr>
        <w:t>rocuronium</w:t>
      </w:r>
      <w:proofErr w:type="spellEnd"/>
      <w:r w:rsidRPr="003266E1">
        <w:rPr>
          <w:rFonts w:ascii="Myriad Pro" w:hAnsi="Myriad Pro" w:cs="Arial"/>
          <w:sz w:val="24"/>
          <w:szCs w:val="24"/>
        </w:rPr>
        <w:t xml:space="preserve"> clearance; CLs, </w:t>
      </w:r>
      <w:proofErr w:type="spellStart"/>
      <w:r w:rsidRPr="003266E1">
        <w:rPr>
          <w:rFonts w:ascii="Myriad Pro" w:hAnsi="Myriad Pro" w:cs="Arial"/>
          <w:sz w:val="24"/>
          <w:szCs w:val="24"/>
        </w:rPr>
        <w:t>sugammadex</w:t>
      </w:r>
      <w:proofErr w:type="spellEnd"/>
      <w:r w:rsidRPr="003266E1">
        <w:rPr>
          <w:rFonts w:ascii="Myriad Pro" w:hAnsi="Myriad Pro" w:cs="Arial"/>
          <w:sz w:val="24"/>
          <w:szCs w:val="24"/>
        </w:rPr>
        <w:t xml:space="preserve"> or complex clearance; k1, rate constant of association between </w:t>
      </w:r>
      <w:proofErr w:type="spellStart"/>
      <w:r w:rsidRPr="003266E1">
        <w:rPr>
          <w:rFonts w:ascii="Myriad Pro" w:hAnsi="Myriad Pro" w:cs="Arial"/>
          <w:sz w:val="24"/>
          <w:szCs w:val="24"/>
        </w:rPr>
        <w:t>sugammadex</w:t>
      </w:r>
      <w:proofErr w:type="spellEnd"/>
      <w:r w:rsidRPr="003266E1">
        <w:rPr>
          <w:rFonts w:ascii="Myriad Pro" w:hAnsi="Myriad Pro" w:cs="Arial"/>
          <w:sz w:val="24"/>
          <w:szCs w:val="24"/>
        </w:rPr>
        <w:t xml:space="preserve"> and </w:t>
      </w:r>
      <w:proofErr w:type="spellStart"/>
      <w:r w:rsidRPr="003266E1">
        <w:rPr>
          <w:rFonts w:ascii="Myriad Pro" w:hAnsi="Myriad Pro" w:cs="Arial"/>
          <w:sz w:val="24"/>
          <w:szCs w:val="24"/>
        </w:rPr>
        <w:t>rocuronium</w:t>
      </w:r>
      <w:proofErr w:type="spellEnd"/>
      <w:r w:rsidRPr="003266E1">
        <w:rPr>
          <w:rFonts w:ascii="Myriad Pro" w:hAnsi="Myriad Pro" w:cs="Arial"/>
          <w:sz w:val="24"/>
          <w:szCs w:val="24"/>
        </w:rPr>
        <w:t xml:space="preserve">; k2, rate constant of dissociation; </w:t>
      </w:r>
      <w:proofErr w:type="spellStart"/>
      <w:r w:rsidRPr="003266E1">
        <w:rPr>
          <w:rFonts w:ascii="Myriad Pro" w:hAnsi="Myriad Pro" w:cs="Arial"/>
          <w:sz w:val="24"/>
          <w:szCs w:val="24"/>
        </w:rPr>
        <w:t>ke</w:t>
      </w:r>
      <w:proofErr w:type="gramStart"/>
      <w:r w:rsidRPr="003266E1">
        <w:rPr>
          <w:rFonts w:ascii="Myriad Pro" w:hAnsi="Myriad Pro" w:cs="Arial"/>
          <w:sz w:val="24"/>
          <w:szCs w:val="24"/>
        </w:rPr>
        <w:t>,Roc</w:t>
      </w:r>
      <w:proofErr w:type="spellEnd"/>
      <w:proofErr w:type="gramEnd"/>
      <w:r w:rsidRPr="003266E1">
        <w:rPr>
          <w:rFonts w:ascii="Myriad Pro" w:hAnsi="Myriad Pro" w:cs="Arial"/>
          <w:sz w:val="24"/>
          <w:szCs w:val="24"/>
        </w:rPr>
        <w:t xml:space="preserve">, rate of elimination of </w:t>
      </w:r>
      <w:proofErr w:type="spellStart"/>
      <w:r w:rsidRPr="003266E1">
        <w:rPr>
          <w:rFonts w:ascii="Myriad Pro" w:hAnsi="Myriad Pro" w:cs="Arial"/>
          <w:sz w:val="24"/>
          <w:szCs w:val="24"/>
        </w:rPr>
        <w:t>rocuronium</w:t>
      </w:r>
      <w:proofErr w:type="spellEnd"/>
      <w:r w:rsidRPr="003266E1">
        <w:rPr>
          <w:rFonts w:ascii="Myriad Pro" w:hAnsi="Myriad Pro" w:cs="Arial"/>
          <w:sz w:val="24"/>
          <w:szCs w:val="24"/>
        </w:rPr>
        <w:t xml:space="preserve">; </w:t>
      </w:r>
      <w:proofErr w:type="spellStart"/>
      <w:r w:rsidRPr="003266E1">
        <w:rPr>
          <w:rFonts w:ascii="Myriad Pro" w:hAnsi="Myriad Pro" w:cs="Arial"/>
          <w:sz w:val="24"/>
          <w:szCs w:val="24"/>
        </w:rPr>
        <w:t>ke,Sug</w:t>
      </w:r>
      <w:proofErr w:type="spellEnd"/>
      <w:r w:rsidRPr="003266E1">
        <w:rPr>
          <w:rFonts w:ascii="Myriad Pro" w:hAnsi="Myriad Pro" w:cs="Arial"/>
          <w:sz w:val="24"/>
          <w:szCs w:val="24"/>
        </w:rPr>
        <w:t xml:space="preserve">, rate of elimination of </w:t>
      </w:r>
      <w:proofErr w:type="spellStart"/>
      <w:r w:rsidRPr="003266E1">
        <w:rPr>
          <w:rFonts w:ascii="Myriad Pro" w:hAnsi="Myriad Pro" w:cs="Arial"/>
          <w:sz w:val="24"/>
          <w:szCs w:val="24"/>
        </w:rPr>
        <w:t>sugammadex</w:t>
      </w:r>
      <w:proofErr w:type="spellEnd"/>
      <w:r w:rsidRPr="003266E1">
        <w:rPr>
          <w:rFonts w:ascii="Myriad Pro" w:hAnsi="Myriad Pro" w:cs="Arial"/>
          <w:sz w:val="24"/>
          <w:szCs w:val="24"/>
        </w:rPr>
        <w:t xml:space="preserve"> or complex; </w:t>
      </w:r>
      <w:proofErr w:type="spellStart"/>
      <w:r w:rsidRPr="003266E1">
        <w:rPr>
          <w:rFonts w:ascii="Myriad Pro" w:hAnsi="Myriad Pro" w:cs="Arial"/>
          <w:sz w:val="24"/>
          <w:szCs w:val="24"/>
        </w:rPr>
        <w:t>keo</w:t>
      </w:r>
      <w:proofErr w:type="spellEnd"/>
      <w:r w:rsidRPr="003266E1">
        <w:rPr>
          <w:rFonts w:ascii="Myriad Pro" w:hAnsi="Myriad Pro" w:cs="Arial"/>
          <w:sz w:val="24"/>
          <w:szCs w:val="24"/>
        </w:rPr>
        <w:t xml:space="preserve">, distribution rate constant between central and effect compartments; </w:t>
      </w:r>
      <w:proofErr w:type="spellStart"/>
      <w:r w:rsidRPr="003266E1">
        <w:rPr>
          <w:rFonts w:ascii="Myriad Pro" w:hAnsi="Myriad Pro" w:cs="Arial"/>
          <w:sz w:val="24"/>
          <w:szCs w:val="24"/>
        </w:rPr>
        <w:t>ks</w:t>
      </w:r>
      <w:proofErr w:type="spellEnd"/>
      <w:r w:rsidRPr="003266E1">
        <w:rPr>
          <w:rFonts w:ascii="Myriad Pro" w:hAnsi="Myriad Pro" w:cs="Arial"/>
          <w:sz w:val="24"/>
          <w:szCs w:val="24"/>
        </w:rPr>
        <w:t xml:space="preserve">, rate constant; Q2r, </w:t>
      </w:r>
      <w:proofErr w:type="spellStart"/>
      <w:r w:rsidRPr="003266E1">
        <w:rPr>
          <w:rFonts w:ascii="Myriad Pro" w:hAnsi="Myriad Pro" w:cs="Arial"/>
          <w:sz w:val="24"/>
          <w:szCs w:val="24"/>
        </w:rPr>
        <w:t>intercompartment</w:t>
      </w:r>
      <w:proofErr w:type="spellEnd"/>
      <w:r w:rsidRPr="003266E1">
        <w:rPr>
          <w:rFonts w:ascii="Myriad Pro" w:hAnsi="Myriad Pro" w:cs="Arial"/>
          <w:sz w:val="24"/>
          <w:szCs w:val="24"/>
        </w:rPr>
        <w:t xml:space="preserve"> clearance of </w:t>
      </w:r>
      <w:proofErr w:type="spellStart"/>
      <w:r w:rsidRPr="003266E1">
        <w:rPr>
          <w:rFonts w:ascii="Myriad Pro" w:hAnsi="Myriad Pro" w:cs="Arial"/>
          <w:sz w:val="24"/>
          <w:szCs w:val="24"/>
        </w:rPr>
        <w:t>rocuronium</w:t>
      </w:r>
      <w:proofErr w:type="spellEnd"/>
      <w:r w:rsidRPr="003266E1">
        <w:rPr>
          <w:rFonts w:ascii="Myriad Pro" w:hAnsi="Myriad Pro" w:cs="Arial"/>
          <w:sz w:val="24"/>
          <w:szCs w:val="24"/>
        </w:rPr>
        <w:t xml:space="preserve"> from the central to the peripheral compartment; Q2s, </w:t>
      </w:r>
      <w:proofErr w:type="spellStart"/>
      <w:r w:rsidRPr="003266E1">
        <w:rPr>
          <w:rFonts w:ascii="Myriad Pro" w:hAnsi="Myriad Pro" w:cs="Arial"/>
          <w:sz w:val="24"/>
          <w:szCs w:val="24"/>
        </w:rPr>
        <w:t>intercompartment</w:t>
      </w:r>
      <w:proofErr w:type="spellEnd"/>
      <w:r w:rsidRPr="003266E1">
        <w:rPr>
          <w:rFonts w:ascii="Myriad Pro" w:hAnsi="Myriad Pro" w:cs="Arial"/>
          <w:sz w:val="24"/>
          <w:szCs w:val="24"/>
        </w:rPr>
        <w:t xml:space="preserve"> clearance of </w:t>
      </w:r>
      <w:proofErr w:type="spellStart"/>
      <w:r w:rsidRPr="003266E1">
        <w:rPr>
          <w:rFonts w:ascii="Myriad Pro" w:hAnsi="Myriad Pro" w:cs="Arial"/>
          <w:sz w:val="24"/>
          <w:szCs w:val="24"/>
        </w:rPr>
        <w:t>sugammadex</w:t>
      </w:r>
      <w:proofErr w:type="spellEnd"/>
      <w:r w:rsidRPr="003266E1">
        <w:rPr>
          <w:rFonts w:ascii="Myriad Pro" w:hAnsi="Myriad Pro" w:cs="Arial"/>
          <w:sz w:val="24"/>
          <w:szCs w:val="24"/>
        </w:rPr>
        <w:t xml:space="preserve"> or complex from the central to the 1st peripheral compartment; Q3s, </w:t>
      </w:r>
      <w:proofErr w:type="spellStart"/>
      <w:r w:rsidRPr="003266E1">
        <w:rPr>
          <w:rFonts w:ascii="Myriad Pro" w:hAnsi="Myriad Pro" w:cs="Arial"/>
          <w:sz w:val="24"/>
          <w:szCs w:val="24"/>
        </w:rPr>
        <w:t>intercompartment</w:t>
      </w:r>
      <w:proofErr w:type="spellEnd"/>
      <w:r w:rsidRPr="003266E1">
        <w:rPr>
          <w:rFonts w:ascii="Myriad Pro" w:hAnsi="Myriad Pro" w:cs="Arial"/>
          <w:sz w:val="24"/>
          <w:szCs w:val="24"/>
        </w:rPr>
        <w:t xml:space="preserve"> clearance of </w:t>
      </w:r>
      <w:proofErr w:type="spellStart"/>
      <w:r w:rsidRPr="003266E1">
        <w:rPr>
          <w:rFonts w:ascii="Myriad Pro" w:hAnsi="Myriad Pro" w:cs="Arial"/>
          <w:sz w:val="24"/>
          <w:szCs w:val="24"/>
        </w:rPr>
        <w:t>sugammadex</w:t>
      </w:r>
      <w:proofErr w:type="spellEnd"/>
      <w:r w:rsidRPr="003266E1">
        <w:rPr>
          <w:rFonts w:ascii="Myriad Pro" w:hAnsi="Myriad Pro" w:cs="Arial"/>
          <w:sz w:val="24"/>
          <w:szCs w:val="24"/>
        </w:rPr>
        <w:t xml:space="preserve"> or complex from the central to the 2nd peripheral compartment; V1r, volume of distribution of </w:t>
      </w:r>
      <w:proofErr w:type="spellStart"/>
      <w:r w:rsidRPr="003266E1">
        <w:rPr>
          <w:rFonts w:ascii="Myriad Pro" w:hAnsi="Myriad Pro" w:cs="Arial"/>
          <w:sz w:val="24"/>
          <w:szCs w:val="24"/>
        </w:rPr>
        <w:t>rocuronium</w:t>
      </w:r>
      <w:proofErr w:type="spellEnd"/>
      <w:r w:rsidRPr="003266E1">
        <w:rPr>
          <w:rFonts w:ascii="Myriad Pro" w:hAnsi="Myriad Pro" w:cs="Arial"/>
          <w:sz w:val="24"/>
          <w:szCs w:val="24"/>
        </w:rPr>
        <w:t xml:space="preserve"> in the central compartment; V1s, volume of distribution of </w:t>
      </w:r>
      <w:proofErr w:type="spellStart"/>
      <w:r w:rsidRPr="003266E1">
        <w:rPr>
          <w:rFonts w:ascii="Myriad Pro" w:hAnsi="Myriad Pro" w:cs="Arial"/>
          <w:sz w:val="24"/>
          <w:szCs w:val="24"/>
        </w:rPr>
        <w:t>sugammadex</w:t>
      </w:r>
      <w:proofErr w:type="spellEnd"/>
      <w:r w:rsidRPr="003266E1">
        <w:rPr>
          <w:rFonts w:ascii="Myriad Pro" w:hAnsi="Myriad Pro" w:cs="Arial"/>
          <w:sz w:val="24"/>
          <w:szCs w:val="24"/>
        </w:rPr>
        <w:t xml:space="preserve"> or complex in the central compartment; V2r, volume of distribution of </w:t>
      </w:r>
      <w:proofErr w:type="spellStart"/>
      <w:r w:rsidRPr="003266E1">
        <w:rPr>
          <w:rFonts w:ascii="Myriad Pro" w:hAnsi="Myriad Pro" w:cs="Arial"/>
          <w:sz w:val="24"/>
          <w:szCs w:val="24"/>
        </w:rPr>
        <w:t>rocuronium</w:t>
      </w:r>
      <w:proofErr w:type="spellEnd"/>
      <w:r w:rsidRPr="003266E1">
        <w:rPr>
          <w:rFonts w:ascii="Myriad Pro" w:hAnsi="Myriad Pro" w:cs="Arial"/>
          <w:sz w:val="24"/>
          <w:szCs w:val="24"/>
        </w:rPr>
        <w:t xml:space="preserve"> in the peripheral compartment; V2s, volume of distribution of </w:t>
      </w:r>
      <w:proofErr w:type="spellStart"/>
      <w:r w:rsidRPr="003266E1">
        <w:rPr>
          <w:rFonts w:ascii="Myriad Pro" w:hAnsi="Myriad Pro" w:cs="Arial"/>
          <w:sz w:val="24"/>
          <w:szCs w:val="24"/>
        </w:rPr>
        <w:t>sugammadex</w:t>
      </w:r>
      <w:proofErr w:type="spellEnd"/>
      <w:r w:rsidRPr="003266E1">
        <w:rPr>
          <w:rFonts w:ascii="Myriad Pro" w:hAnsi="Myriad Pro" w:cs="Arial"/>
          <w:sz w:val="24"/>
          <w:szCs w:val="24"/>
        </w:rPr>
        <w:t xml:space="preserve"> or complex in the 1st peripheral compartment, V3s, volume of distribution of </w:t>
      </w:r>
      <w:proofErr w:type="spellStart"/>
      <w:r w:rsidRPr="003266E1">
        <w:rPr>
          <w:rFonts w:ascii="Myriad Pro" w:hAnsi="Myriad Pro" w:cs="Arial"/>
          <w:sz w:val="24"/>
          <w:szCs w:val="24"/>
        </w:rPr>
        <w:t>sugammadex</w:t>
      </w:r>
      <w:proofErr w:type="spellEnd"/>
      <w:r w:rsidRPr="003266E1">
        <w:rPr>
          <w:rFonts w:ascii="Myriad Pro" w:hAnsi="Myriad Pro" w:cs="Arial"/>
          <w:sz w:val="24"/>
          <w:szCs w:val="24"/>
        </w:rPr>
        <w:t xml:space="preserve"> or complex in the 2nd peripheral compartment .</w:t>
      </w:r>
    </w:p>
    <w:p w14:paraId="34CBA734" w14:textId="77777777" w:rsidR="006E5673" w:rsidRPr="003266E1" w:rsidRDefault="006E5673" w:rsidP="006E5673">
      <w:pPr>
        <w:spacing w:line="240" w:lineRule="auto"/>
        <w:rPr>
          <w:rFonts w:ascii="Myriad Pro" w:hAnsi="Myriad Pro" w:cs="Arial"/>
          <w:sz w:val="24"/>
          <w:szCs w:val="24"/>
        </w:rPr>
      </w:pPr>
      <w:r w:rsidRPr="003266E1">
        <w:rPr>
          <w:rFonts w:ascii="Myriad Pro" w:hAnsi="Myriad Pro" w:cs="Arial"/>
          <w:sz w:val="24"/>
          <w:szCs w:val="24"/>
        </w:rPr>
        <w:t xml:space="preserve">E0 is the baseline T4/T1 twitch ratio; </w:t>
      </w:r>
      <w:proofErr w:type="spellStart"/>
      <w:r w:rsidRPr="003266E1">
        <w:rPr>
          <w:rFonts w:ascii="Myriad Pro" w:hAnsi="Myriad Pro" w:cs="Arial"/>
          <w:sz w:val="24"/>
          <w:szCs w:val="24"/>
        </w:rPr>
        <w:t>Emax</w:t>
      </w:r>
      <w:proofErr w:type="spellEnd"/>
      <w:r w:rsidRPr="003266E1">
        <w:rPr>
          <w:rFonts w:ascii="Myriad Pro" w:hAnsi="Myriad Pro" w:cs="Arial"/>
          <w:sz w:val="24"/>
          <w:szCs w:val="24"/>
        </w:rPr>
        <w:t xml:space="preserve"> (set equal to E0 for each individual) is maximal reduction in neuromuscular function corresponding to full muscle relaxation, i.e. T4/T1 twitch ratio of 0;</w:t>
      </w:r>
      <w:r w:rsidR="00894AE7" w:rsidRPr="003266E1">
        <w:rPr>
          <w:rFonts w:ascii="Myriad Pro" w:hAnsi="Myriad Pro" w:cs="Arial"/>
          <w:sz w:val="24"/>
          <w:szCs w:val="24"/>
        </w:rPr>
        <w:t xml:space="preserve"> </w:t>
      </w:r>
      <w:proofErr w:type="spellStart"/>
      <w:r w:rsidR="00894AE7" w:rsidRPr="003266E1">
        <w:rPr>
          <w:rFonts w:ascii="Myriad Pro" w:hAnsi="Myriad Pro" w:cs="Arial"/>
          <w:sz w:val="24"/>
          <w:szCs w:val="24"/>
        </w:rPr>
        <w:t>Ceff</w:t>
      </w:r>
      <w:proofErr w:type="spellEnd"/>
      <w:r w:rsidR="00894AE7" w:rsidRPr="003266E1">
        <w:rPr>
          <w:rFonts w:ascii="Myriad Pro" w:hAnsi="Myriad Pro" w:cs="Arial"/>
          <w:sz w:val="24"/>
          <w:szCs w:val="24"/>
        </w:rPr>
        <w:t xml:space="preserve"> is the </w:t>
      </w:r>
      <w:proofErr w:type="spellStart"/>
      <w:r w:rsidR="00894AE7" w:rsidRPr="003266E1">
        <w:rPr>
          <w:rFonts w:ascii="Myriad Pro" w:hAnsi="Myriad Pro" w:cs="Arial"/>
          <w:sz w:val="24"/>
          <w:szCs w:val="24"/>
        </w:rPr>
        <w:t>rocuronium</w:t>
      </w:r>
      <w:proofErr w:type="spellEnd"/>
      <w:r w:rsidR="00894AE7" w:rsidRPr="003266E1">
        <w:rPr>
          <w:rFonts w:ascii="Myriad Pro" w:hAnsi="Myriad Pro" w:cs="Arial"/>
          <w:sz w:val="24"/>
          <w:szCs w:val="24"/>
        </w:rPr>
        <w:t xml:space="preserve"> concentration in the effect compartment; </w:t>
      </w:r>
      <w:r w:rsidRPr="003266E1">
        <w:rPr>
          <w:rFonts w:ascii="Myriad Pro" w:hAnsi="Myriad Pro" w:cs="Arial"/>
          <w:sz w:val="24"/>
          <w:szCs w:val="24"/>
        </w:rPr>
        <w:t xml:space="preserve">EC50 is the </w:t>
      </w:r>
      <w:proofErr w:type="spellStart"/>
      <w:r w:rsidRPr="003266E1">
        <w:rPr>
          <w:rFonts w:ascii="Myriad Pro" w:hAnsi="Myriad Pro" w:cs="Arial"/>
          <w:sz w:val="24"/>
          <w:szCs w:val="24"/>
        </w:rPr>
        <w:t>rocuronium</w:t>
      </w:r>
      <w:proofErr w:type="spellEnd"/>
      <w:r w:rsidRPr="003266E1">
        <w:rPr>
          <w:rFonts w:ascii="Myriad Pro" w:hAnsi="Myriad Pro" w:cs="Arial"/>
          <w:sz w:val="24"/>
          <w:szCs w:val="24"/>
        </w:rPr>
        <w:t xml:space="preserve"> concentration in the effect compartment required to produce a 50% reduction in neuromuscular function; and </w:t>
      </w:r>
      <w:r w:rsidR="00894AE7" w:rsidRPr="003266E1">
        <w:rPr>
          <w:rFonts w:ascii="Myriad Pro" w:hAnsi="Myriad Pro" w:cs="Arial"/>
          <w:sz w:val="24"/>
          <w:szCs w:val="24"/>
        </w:rPr>
        <w:t>γ</w:t>
      </w:r>
      <w:r w:rsidRPr="003266E1">
        <w:rPr>
          <w:rFonts w:ascii="Myriad Pro" w:hAnsi="Myriad Pro" w:cs="Arial"/>
          <w:sz w:val="24"/>
          <w:szCs w:val="24"/>
        </w:rPr>
        <w:t xml:space="preserve"> is the Hill coefficient.</w:t>
      </w:r>
    </w:p>
    <w:sectPr w:rsidR="006E5673" w:rsidRPr="003266E1" w:rsidSect="00B67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147838" w14:textId="77777777" w:rsidR="0089138B" w:rsidRDefault="0089138B" w:rsidP="00103B1B">
      <w:pPr>
        <w:spacing w:after="0" w:line="240" w:lineRule="auto"/>
      </w:pPr>
      <w:r>
        <w:separator/>
      </w:r>
    </w:p>
  </w:endnote>
  <w:endnote w:type="continuationSeparator" w:id="0">
    <w:p w14:paraId="575F099E" w14:textId="77777777" w:rsidR="0089138B" w:rsidRDefault="0089138B" w:rsidP="00103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yriad Pro">
    <w:panose1 w:val="020B0503030403020204"/>
    <w:charset w:val="00"/>
    <w:family w:val="auto"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738A9F" w14:textId="77777777" w:rsidR="0089138B" w:rsidRDefault="0089138B" w:rsidP="00103B1B">
      <w:pPr>
        <w:spacing w:after="0" w:line="240" w:lineRule="auto"/>
      </w:pPr>
      <w:r>
        <w:separator/>
      </w:r>
    </w:p>
  </w:footnote>
  <w:footnote w:type="continuationSeparator" w:id="0">
    <w:p w14:paraId="1EA97712" w14:textId="77777777" w:rsidR="0089138B" w:rsidRDefault="0089138B" w:rsidP="00103B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1AB0"/>
    <w:rsid w:val="00103B1B"/>
    <w:rsid w:val="00145C56"/>
    <w:rsid w:val="00156D35"/>
    <w:rsid w:val="00167994"/>
    <w:rsid w:val="00181679"/>
    <w:rsid w:val="001F0FCF"/>
    <w:rsid w:val="001F149F"/>
    <w:rsid w:val="0028783A"/>
    <w:rsid w:val="003266E1"/>
    <w:rsid w:val="00370BDC"/>
    <w:rsid w:val="003A6909"/>
    <w:rsid w:val="00410A14"/>
    <w:rsid w:val="004116B8"/>
    <w:rsid w:val="005F376D"/>
    <w:rsid w:val="0063080C"/>
    <w:rsid w:val="006675A9"/>
    <w:rsid w:val="006B64EB"/>
    <w:rsid w:val="006C70DC"/>
    <w:rsid w:val="006E5673"/>
    <w:rsid w:val="006F1931"/>
    <w:rsid w:val="00735070"/>
    <w:rsid w:val="007B7B56"/>
    <w:rsid w:val="007D7C6B"/>
    <w:rsid w:val="007E0F82"/>
    <w:rsid w:val="00821CC5"/>
    <w:rsid w:val="008774EF"/>
    <w:rsid w:val="00887166"/>
    <w:rsid w:val="0089138B"/>
    <w:rsid w:val="00894AE7"/>
    <w:rsid w:val="009C6ECA"/>
    <w:rsid w:val="009D2ECD"/>
    <w:rsid w:val="00AF5ACD"/>
    <w:rsid w:val="00B14291"/>
    <w:rsid w:val="00B4536D"/>
    <w:rsid w:val="00B529AD"/>
    <w:rsid w:val="00B61420"/>
    <w:rsid w:val="00B63D9F"/>
    <w:rsid w:val="00B67A63"/>
    <w:rsid w:val="00BC703A"/>
    <w:rsid w:val="00C4714A"/>
    <w:rsid w:val="00C90B4B"/>
    <w:rsid w:val="00CA10AB"/>
    <w:rsid w:val="00D67943"/>
    <w:rsid w:val="00D813A6"/>
    <w:rsid w:val="00DF2DB6"/>
    <w:rsid w:val="00E04AAF"/>
    <w:rsid w:val="00F01AB0"/>
    <w:rsid w:val="00F10CA3"/>
    <w:rsid w:val="00F36729"/>
    <w:rsid w:val="00F44F75"/>
    <w:rsid w:val="00FB1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3594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83A"/>
    <w:rPr>
      <w:rFonts w:ascii="Tahoma" w:hAnsi="Tahoma" w:cs="Tahoma"/>
      <w:sz w:val="16"/>
      <w:szCs w:val="16"/>
    </w:rPr>
  </w:style>
  <w:style w:type="character" w:styleId="FootnoteReference">
    <w:name w:val="footnote reference"/>
    <w:rsid w:val="00103B1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913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13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13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13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138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83A"/>
    <w:rPr>
      <w:rFonts w:ascii="Tahoma" w:hAnsi="Tahoma" w:cs="Tahoma"/>
      <w:sz w:val="16"/>
      <w:szCs w:val="16"/>
    </w:rPr>
  </w:style>
  <w:style w:type="character" w:styleId="FootnoteReference">
    <w:name w:val="footnote reference"/>
    <w:rsid w:val="00103B1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913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13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13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13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13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0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617</Words>
  <Characters>3521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Merck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kleijnh</dc:creator>
  <cp:lastModifiedBy>Samantha Dobrzynski</cp:lastModifiedBy>
  <cp:revision>3</cp:revision>
  <dcterms:created xsi:type="dcterms:W3CDTF">2013-08-06T15:49:00Z</dcterms:created>
  <dcterms:modified xsi:type="dcterms:W3CDTF">2013-10-04T14:44:00Z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1685913513</vt:i4>
  </property>
  <property fmtid="{D5CDD505-2E9C-101B-9397-08002B2CF9AE}" pid="3" name="_NewReviewCycle">
    <vt:lpwstr/>
  </property>
  <property fmtid="{D5CDD505-2E9C-101B-9397-08002B2CF9AE}" pid="4" name="_EmailSubject">
    <vt:lpwstr>For review: Sugammadex PK-PD model abstract for ISAP</vt:lpwstr>
  </property>
  <property fmtid="{D5CDD505-2E9C-101B-9397-08002B2CF9AE}" pid="5" name="_AuthorEmail">
    <vt:lpwstr>pieter-jan.de.kam@merck.com</vt:lpwstr>
  </property>
  <property fmtid="{D5CDD505-2E9C-101B-9397-08002B2CF9AE}" pid="6" name="_AuthorEmailDisplayName">
    <vt:lpwstr>De Kam, Pieter-Jan</vt:lpwstr>
  </property>
  <property fmtid="{D5CDD505-2E9C-101B-9397-08002B2CF9AE}" pid="7" name="_PreviousAdHocReviewCycleID">
    <vt:i4>235117438</vt:i4>
  </property>
  <property fmtid="{D5CDD505-2E9C-101B-9397-08002B2CF9AE}" pid="8" name="_ReviewingToolsShownOnce">
    <vt:lpwstr/>
  </property>
</Properties>
</file>